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53" w:rightChars="-73"/>
        <w:jc w:val="center"/>
        <w:rPr>
          <w:rFonts w:asciiTheme="minorEastAsia" w:hAnsiTheme="minorEastAsia" w:eastAsiaTheme="minorEastAsia"/>
          <w:b/>
          <w:bCs/>
          <w:color w:val="FF0000"/>
          <w:sz w:val="32"/>
        </w:rPr>
      </w:pPr>
      <w:r>
        <w:rPr>
          <w:rFonts w:hint="eastAsia" w:asciiTheme="minorEastAsia" w:hAnsiTheme="minorEastAsia" w:eastAsiaTheme="minorEastAsia"/>
          <w:color w:val="000000"/>
          <w:kern w:val="0"/>
          <w:sz w:val="24"/>
        </w:rPr>
        <w:t>证券代码：</w:t>
      </w:r>
      <w:r>
        <w:rPr>
          <w:rFonts w:asciiTheme="minorEastAsia" w:hAnsiTheme="minorEastAsia" w:eastAsiaTheme="minorEastAsia"/>
          <w:color w:val="000000"/>
          <w:kern w:val="0"/>
          <w:sz w:val="24"/>
        </w:rPr>
        <w:t xml:space="preserve">600200         </w:t>
      </w:r>
      <w:r>
        <w:rPr>
          <w:rFonts w:hint="eastAsia" w:asciiTheme="minorEastAsia" w:hAnsiTheme="minorEastAsia" w:eastAsiaTheme="minorEastAsia"/>
          <w:color w:val="000000"/>
          <w:kern w:val="0"/>
          <w:sz w:val="24"/>
        </w:rPr>
        <w:t>证券简称：江苏吴中</w:t>
      </w:r>
      <w:r>
        <w:rPr>
          <w:rFonts w:asciiTheme="minorEastAsia" w:hAnsiTheme="minorEastAsia" w:eastAsiaTheme="minorEastAsia"/>
          <w:color w:val="000000"/>
          <w:kern w:val="0"/>
          <w:sz w:val="24"/>
        </w:rPr>
        <w:t xml:space="preserve">      </w:t>
      </w:r>
      <w:r>
        <w:rPr>
          <w:rFonts w:hint="eastAsia" w:asciiTheme="minorEastAsia" w:hAnsiTheme="minorEastAsia" w:eastAsiaTheme="minorEastAsia"/>
          <w:color w:val="000000"/>
          <w:kern w:val="0"/>
          <w:sz w:val="24"/>
        </w:rPr>
        <w:t>公告编号：</w:t>
      </w:r>
      <w:r>
        <w:rPr>
          <w:rFonts w:hint="eastAsia" w:asciiTheme="minorEastAsia" w:hAnsiTheme="minorEastAsia" w:eastAsiaTheme="minorEastAsia"/>
          <w:color w:val="000000"/>
          <w:kern w:val="0"/>
          <w:sz w:val="24"/>
          <w:lang w:val="en-US" w:eastAsia="zh-CN"/>
        </w:rPr>
        <w:t>2024-015</w:t>
      </w:r>
      <w:r>
        <w:rPr>
          <w:rFonts w:hint="eastAsia" w:asciiTheme="minorEastAsia" w:hAnsiTheme="minorEastAsia" w:eastAsiaTheme="minorEastAsia"/>
          <w:color w:val="000000"/>
          <w:kern w:val="0"/>
          <w:sz w:val="24"/>
        </w:rPr>
        <w:t xml:space="preserve"> </w:t>
      </w:r>
    </w:p>
    <w:p>
      <w:pPr>
        <w:spacing w:line="360" w:lineRule="auto"/>
        <w:ind w:right="-153" w:rightChars="-73"/>
        <w:jc w:val="center"/>
        <w:rPr>
          <w:rFonts w:eastAsia="黑体"/>
          <w:b/>
          <w:bCs/>
          <w:color w:val="FF0000"/>
          <w:sz w:val="32"/>
        </w:rPr>
      </w:pPr>
    </w:p>
    <w:p>
      <w:pPr>
        <w:spacing w:line="360" w:lineRule="auto"/>
        <w:ind w:right="-153" w:rightChars="-73"/>
        <w:jc w:val="center"/>
        <w:rPr>
          <w:rFonts w:eastAsia="黑体"/>
          <w:b/>
          <w:bCs/>
          <w:color w:val="FF0000"/>
          <w:sz w:val="32"/>
        </w:rPr>
      </w:pPr>
      <w:r>
        <w:rPr>
          <w:rFonts w:hint="eastAsia" w:eastAsia="黑体"/>
          <w:b/>
          <w:bCs/>
          <w:color w:val="FF0000"/>
          <w:sz w:val="32"/>
        </w:rPr>
        <w:t>江苏吴中医药发展股份有限公司</w:t>
      </w:r>
    </w:p>
    <w:p>
      <w:pPr>
        <w:spacing w:line="360" w:lineRule="auto"/>
        <w:ind w:right="-153" w:rightChars="-73"/>
        <w:jc w:val="center"/>
        <w:rPr>
          <w:rFonts w:eastAsia="黑体"/>
          <w:b/>
          <w:bCs/>
          <w:color w:val="FF0000"/>
          <w:sz w:val="32"/>
        </w:rPr>
      </w:pPr>
      <w:r>
        <w:rPr>
          <w:rFonts w:hint="eastAsia" w:eastAsia="黑体"/>
          <w:b/>
          <w:bCs/>
          <w:color w:val="FF0000"/>
          <w:sz w:val="32"/>
        </w:rPr>
        <w:t>关于盐酸多巴酚丁胺注射液通过仿制药一致性评价的公告</w:t>
      </w:r>
    </w:p>
    <w:p>
      <w:pPr>
        <w:autoSpaceDE w:val="0"/>
        <w:autoSpaceDN w:val="0"/>
        <w:adjustRightInd w:val="0"/>
        <w:spacing w:line="360" w:lineRule="auto"/>
        <w:ind w:firstLine="482" w:firstLineChars="200"/>
        <w:rPr>
          <w:b/>
          <w:sz w:val="24"/>
        </w:rPr>
      </w:pPr>
    </w:p>
    <w:p>
      <w:pPr>
        <w:autoSpaceDE w:val="0"/>
        <w:autoSpaceDN w:val="0"/>
        <w:adjustRightInd w:val="0"/>
        <w:spacing w:line="360" w:lineRule="auto"/>
        <w:ind w:firstLine="482" w:firstLineChars="200"/>
        <w:rPr>
          <w:b/>
          <w:sz w:val="24"/>
        </w:rPr>
      </w:pPr>
      <w:r>
        <w:rPr>
          <w:rFonts w:hint="eastAsia"/>
          <w:b/>
          <w:sz w:val="24"/>
        </w:rPr>
        <w:t>本公司董事会及董事会全体成员保证公告内容不存在虚假记载、误导性陈述或者重大遗漏，并对其内容的真实、准确和完整承担</w:t>
      </w:r>
      <w:r>
        <w:rPr>
          <w:rFonts w:hint="eastAsia"/>
          <w:b/>
          <w:sz w:val="24"/>
          <w:lang w:val="en-US" w:eastAsia="zh-CN"/>
        </w:rPr>
        <w:t>法律</w:t>
      </w:r>
      <w:r>
        <w:rPr>
          <w:rFonts w:hint="eastAsia"/>
          <w:b/>
          <w:sz w:val="24"/>
        </w:rPr>
        <w:t>责任。</w:t>
      </w:r>
    </w:p>
    <w:p>
      <w:pPr>
        <w:pStyle w:val="9"/>
        <w:spacing w:line="360" w:lineRule="auto"/>
        <w:rPr>
          <w:rFonts w:cs="Times New Roman" w:asciiTheme="minorEastAsia" w:hAnsiTheme="minorEastAsia" w:eastAsiaTheme="minorEastAsia"/>
        </w:rPr>
      </w:pP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近日，江苏吴中医药发展股份有限公司</w:t>
      </w:r>
      <w:r>
        <w:rPr>
          <w:rFonts w:asciiTheme="minorEastAsia" w:hAnsiTheme="minorEastAsia" w:eastAsiaTheme="minorEastAsia"/>
          <w:sz w:val="24"/>
        </w:rPr>
        <w:t>(</w:t>
      </w:r>
      <w:r>
        <w:rPr>
          <w:rFonts w:hint="eastAsia" w:asciiTheme="minorEastAsia" w:hAnsiTheme="minorEastAsia" w:eastAsiaTheme="minorEastAsia"/>
          <w:sz w:val="24"/>
        </w:rPr>
        <w:t>以下简称“公司”</w:t>
      </w:r>
      <w:r>
        <w:rPr>
          <w:rFonts w:asciiTheme="minorEastAsia" w:hAnsiTheme="minorEastAsia" w:eastAsiaTheme="minorEastAsia"/>
          <w:sz w:val="24"/>
        </w:rPr>
        <w:t>)</w:t>
      </w:r>
      <w:r>
        <w:rPr>
          <w:rFonts w:hint="eastAsia" w:asciiTheme="minorEastAsia" w:hAnsiTheme="minorEastAsia" w:eastAsiaTheme="minorEastAsia"/>
          <w:sz w:val="24"/>
        </w:rPr>
        <w:t>全资子公司江苏吴中医药集团有限公司下属分支机构江苏吴中医药集团有限公司苏州制药厂（以下简称“苏州制药厂”）收到了国家药品监督管理局（以下简称“国家药监局”）核准签发的关于“盐酸多巴酚丁胺注射液”（以下简称“该药品”或“本品”）的《药品补充申请批准通知书》，该药品通过仿制药质量和疗效一致性评价（以下简称“仿制药一致性评价”）。现将相关情况公告如下：</w:t>
      </w:r>
    </w:p>
    <w:p>
      <w:pPr>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一、药品基本情况</w:t>
      </w:r>
    </w:p>
    <w:p>
      <w:pPr>
        <w:spacing w:line="360" w:lineRule="auto"/>
        <w:ind w:firstLine="480" w:firstLineChars="200"/>
        <w:rPr>
          <w:rFonts w:asciiTheme="minorEastAsia" w:hAnsiTheme="minorEastAsia" w:eastAsiaTheme="minorEastAsia"/>
          <w:sz w:val="24"/>
          <w:shd w:val="clear" w:color="auto" w:fill="FFFFFF"/>
        </w:rPr>
      </w:pPr>
      <w:r>
        <w:rPr>
          <w:rFonts w:hint="eastAsia" w:asciiTheme="minorEastAsia" w:hAnsiTheme="minorEastAsia" w:eastAsiaTheme="minorEastAsia"/>
          <w:sz w:val="24"/>
          <w:shd w:val="clear" w:color="auto" w:fill="FFFFFF"/>
        </w:rPr>
        <w:t>药品名称：盐酸多巴酚丁胺注射液</w:t>
      </w:r>
    </w:p>
    <w:p>
      <w:pPr>
        <w:spacing w:line="360" w:lineRule="auto"/>
        <w:ind w:firstLine="480" w:firstLineChars="200"/>
        <w:rPr>
          <w:rFonts w:asciiTheme="minorEastAsia" w:hAnsiTheme="minorEastAsia" w:eastAsiaTheme="minorEastAsia"/>
          <w:sz w:val="24"/>
          <w:shd w:val="clear" w:color="auto" w:fill="FFFFFF"/>
        </w:rPr>
      </w:pPr>
      <w:r>
        <w:rPr>
          <w:rFonts w:hint="eastAsia" w:asciiTheme="minorEastAsia" w:hAnsiTheme="minorEastAsia" w:eastAsiaTheme="minorEastAsia"/>
          <w:sz w:val="24"/>
          <w:shd w:val="clear" w:color="auto" w:fill="FFFFFF"/>
        </w:rPr>
        <w:t>剂型：注射剂</w:t>
      </w:r>
    </w:p>
    <w:p>
      <w:pPr>
        <w:spacing w:line="360" w:lineRule="auto"/>
        <w:ind w:firstLine="480" w:firstLineChars="200"/>
        <w:rPr>
          <w:rFonts w:asciiTheme="minorEastAsia" w:hAnsiTheme="minorEastAsia" w:eastAsiaTheme="minorEastAsia"/>
          <w:sz w:val="24"/>
          <w:shd w:val="clear" w:color="auto" w:fill="FFFFFF"/>
        </w:rPr>
      </w:pPr>
      <w:r>
        <w:rPr>
          <w:rFonts w:hint="eastAsia" w:asciiTheme="minorEastAsia" w:hAnsiTheme="minorEastAsia" w:eastAsiaTheme="minorEastAsia"/>
          <w:sz w:val="24"/>
          <w:shd w:val="clear" w:color="auto" w:fill="FFFFFF"/>
        </w:rPr>
        <w:t>规格：</w:t>
      </w:r>
      <w:r>
        <w:rPr>
          <w:sz w:val="24"/>
        </w:rPr>
        <w:t>5</w:t>
      </w:r>
      <w:r>
        <w:rPr>
          <w:rFonts w:hint="eastAsia"/>
          <w:sz w:val="24"/>
        </w:rPr>
        <w:t>ml:1</w:t>
      </w:r>
      <w:r>
        <w:rPr>
          <w:sz w:val="24"/>
        </w:rPr>
        <w:t>00</w:t>
      </w:r>
      <w:r>
        <w:rPr>
          <w:rFonts w:hint="eastAsia"/>
          <w:sz w:val="24"/>
        </w:rPr>
        <w:t>mg（按</w:t>
      </w:r>
      <w:r>
        <w:rPr>
          <w:sz w:val="24"/>
        </w:rPr>
        <w:t>C</w:t>
      </w:r>
      <w:r>
        <w:rPr>
          <w:sz w:val="24"/>
          <w:vertAlign w:val="subscript"/>
        </w:rPr>
        <w:t>18</w:t>
      </w:r>
      <w:r>
        <w:rPr>
          <w:sz w:val="24"/>
        </w:rPr>
        <w:t>H</w:t>
      </w:r>
      <w:r>
        <w:rPr>
          <w:sz w:val="24"/>
          <w:vertAlign w:val="subscript"/>
        </w:rPr>
        <w:t>23</w:t>
      </w:r>
      <w:r>
        <w:rPr>
          <w:sz w:val="24"/>
        </w:rPr>
        <w:t>NO</w:t>
      </w:r>
      <w:r>
        <w:rPr>
          <w:sz w:val="24"/>
          <w:vertAlign w:val="subscript"/>
        </w:rPr>
        <w:t>3</w:t>
      </w:r>
      <w:r>
        <w:rPr>
          <w:rFonts w:hint="eastAsia"/>
          <w:sz w:val="24"/>
        </w:rPr>
        <w:t>计）</w:t>
      </w:r>
    </w:p>
    <w:p>
      <w:pPr>
        <w:spacing w:line="360" w:lineRule="auto"/>
        <w:ind w:firstLine="480" w:firstLineChars="200"/>
        <w:rPr>
          <w:rFonts w:asciiTheme="minorEastAsia" w:hAnsiTheme="minorEastAsia" w:eastAsiaTheme="minorEastAsia"/>
          <w:sz w:val="24"/>
          <w:shd w:val="clear" w:color="auto" w:fill="FFFFFF"/>
        </w:rPr>
      </w:pPr>
      <w:r>
        <w:rPr>
          <w:rFonts w:hint="eastAsia" w:asciiTheme="minorEastAsia" w:hAnsiTheme="minorEastAsia" w:eastAsiaTheme="minorEastAsia"/>
          <w:sz w:val="24"/>
          <w:shd w:val="clear" w:color="auto" w:fill="FFFFFF"/>
        </w:rPr>
        <w:t>药品批准文号：</w:t>
      </w:r>
      <w:r>
        <w:rPr>
          <w:rFonts w:hint="eastAsia" w:asciiTheme="minorEastAsia" w:hAnsiTheme="minorEastAsia" w:eastAsiaTheme="minorEastAsia"/>
          <w:sz w:val="24"/>
        </w:rPr>
        <w:t>国药准字H</w:t>
      </w:r>
      <w:r>
        <w:rPr>
          <w:rFonts w:asciiTheme="minorEastAsia" w:hAnsiTheme="minorEastAsia" w:eastAsiaTheme="minorEastAsia"/>
          <w:sz w:val="24"/>
        </w:rPr>
        <w:t>20247037</w:t>
      </w:r>
    </w:p>
    <w:p>
      <w:pPr>
        <w:spacing w:line="360" w:lineRule="auto"/>
        <w:ind w:firstLine="480" w:firstLineChars="200"/>
        <w:rPr>
          <w:rFonts w:asciiTheme="minorEastAsia" w:hAnsiTheme="minorEastAsia" w:eastAsiaTheme="minorEastAsia"/>
          <w:sz w:val="24"/>
          <w:shd w:val="clear" w:color="auto" w:fill="FFFFFF"/>
        </w:rPr>
      </w:pPr>
      <w:r>
        <w:rPr>
          <w:rFonts w:hint="eastAsia" w:asciiTheme="minorEastAsia" w:hAnsiTheme="minorEastAsia" w:eastAsiaTheme="minorEastAsia"/>
          <w:sz w:val="24"/>
          <w:shd w:val="clear" w:color="auto" w:fill="FFFFFF"/>
        </w:rPr>
        <w:t>注册分类：化学药品</w:t>
      </w:r>
    </w:p>
    <w:p>
      <w:pPr>
        <w:spacing w:line="360" w:lineRule="auto"/>
        <w:ind w:firstLine="480" w:firstLineChars="200"/>
        <w:rPr>
          <w:rFonts w:asciiTheme="minorEastAsia" w:hAnsiTheme="minorEastAsia" w:eastAsiaTheme="minorEastAsia"/>
          <w:sz w:val="24"/>
          <w:shd w:val="clear" w:color="auto" w:fill="FFFFFF"/>
        </w:rPr>
      </w:pPr>
      <w:r>
        <w:rPr>
          <w:rFonts w:hint="eastAsia" w:asciiTheme="minorEastAsia" w:hAnsiTheme="minorEastAsia" w:eastAsiaTheme="minorEastAsia"/>
          <w:sz w:val="24"/>
          <w:shd w:val="clear" w:color="auto" w:fill="FFFFFF"/>
        </w:rPr>
        <w:t>上市许可持有人：江苏吴中医药集团有限公司苏州制药厂</w:t>
      </w:r>
    </w:p>
    <w:p>
      <w:pPr>
        <w:spacing w:line="360" w:lineRule="auto"/>
        <w:ind w:firstLine="480" w:firstLineChars="200"/>
        <w:rPr>
          <w:rFonts w:asciiTheme="minorEastAsia" w:hAnsiTheme="minorEastAsia" w:eastAsiaTheme="minorEastAsia"/>
          <w:sz w:val="24"/>
          <w:shd w:val="clear" w:color="auto" w:fill="FFFFFF"/>
        </w:rPr>
      </w:pPr>
      <w:r>
        <w:rPr>
          <w:rFonts w:hint="eastAsia" w:asciiTheme="minorEastAsia" w:hAnsiTheme="minorEastAsia" w:eastAsiaTheme="minorEastAsia"/>
          <w:sz w:val="24"/>
          <w:shd w:val="clear" w:color="auto" w:fill="FFFFFF"/>
        </w:rPr>
        <w:t>药品生产企业：江苏吴中医药集团有限公司苏州制药厂</w:t>
      </w:r>
    </w:p>
    <w:p>
      <w:pPr>
        <w:spacing w:line="360" w:lineRule="auto"/>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shd w:val="clear" w:color="auto" w:fill="FFFFFF"/>
        </w:rPr>
        <w:t>受理号：</w:t>
      </w:r>
      <w:r>
        <w:rPr>
          <w:rFonts w:hint="eastAsia" w:asciiTheme="minorEastAsia" w:hAnsiTheme="minorEastAsia" w:eastAsiaTheme="minorEastAsia"/>
          <w:sz w:val="24"/>
        </w:rPr>
        <w:t>CYHB2250484</w:t>
      </w:r>
    </w:p>
    <w:p>
      <w:pPr>
        <w:spacing w:line="360" w:lineRule="auto"/>
        <w:ind w:firstLine="480" w:firstLineChars="200"/>
        <w:rPr>
          <w:rFonts w:asciiTheme="minorEastAsia" w:hAnsiTheme="minorEastAsia" w:eastAsiaTheme="minorEastAsia"/>
          <w:sz w:val="24"/>
          <w:shd w:val="clear" w:color="auto" w:fill="FFFFFF"/>
        </w:rPr>
      </w:pPr>
      <w:r>
        <w:rPr>
          <w:rFonts w:hint="eastAsia" w:asciiTheme="minorEastAsia" w:hAnsiTheme="minorEastAsia" w:eastAsiaTheme="minorEastAsia"/>
          <w:sz w:val="24"/>
          <w:shd w:val="clear" w:color="auto" w:fill="FFFFFF"/>
        </w:rPr>
        <w:t>通知书编号：</w:t>
      </w:r>
      <w:r>
        <w:rPr>
          <w:rFonts w:asciiTheme="minorEastAsia" w:hAnsiTheme="minorEastAsia" w:eastAsiaTheme="minorEastAsia"/>
          <w:sz w:val="24"/>
          <w:shd w:val="clear" w:color="auto" w:fill="FFFFFF"/>
        </w:rPr>
        <w:t>2024B00881</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shd w:val="clear" w:color="auto" w:fill="FFFFFF"/>
        </w:rPr>
        <w:t>审批结论：</w:t>
      </w:r>
      <w:r>
        <w:rPr>
          <w:rFonts w:hint="eastAsia" w:asciiTheme="minorEastAsia" w:hAnsiTheme="minorEastAsia" w:eastAsiaTheme="minorEastAsia"/>
          <w:sz w:val="24"/>
        </w:rPr>
        <w:t>根据《中华人民共和国药品管理法》、《国务院关于改革药品医疗器械审评审批制度的意见》（国发[</w:t>
      </w:r>
      <w:r>
        <w:rPr>
          <w:rFonts w:asciiTheme="minorEastAsia" w:hAnsiTheme="minorEastAsia" w:eastAsiaTheme="minorEastAsia"/>
          <w:sz w:val="24"/>
        </w:rPr>
        <w:t>2015]44</w:t>
      </w:r>
      <w:r>
        <w:rPr>
          <w:rFonts w:hint="eastAsia" w:asciiTheme="minorEastAsia" w:hAnsiTheme="minorEastAsia" w:eastAsiaTheme="minorEastAsia"/>
          <w:sz w:val="24"/>
        </w:rPr>
        <w:t>号）、</w:t>
      </w:r>
      <w:r>
        <w:rPr>
          <w:rFonts w:hint="eastAsia" w:asciiTheme="minorEastAsia" w:hAnsiTheme="minorEastAsia" w:eastAsiaTheme="minorEastAsia" w:cstheme="minorEastAsia"/>
          <w:sz w:val="24"/>
          <w:szCs w:val="24"/>
        </w:rPr>
        <w:t>《关于仿制药质量和疗效一致性评价工作有关事项的公告》（2017年第100号）</w:t>
      </w:r>
      <w:r>
        <w:rPr>
          <w:rFonts w:hint="eastAsia" w:asciiTheme="minorEastAsia" w:hAnsiTheme="minorEastAsia" w:eastAsiaTheme="minorEastAsia"/>
          <w:sz w:val="24"/>
          <w:lang w:val="en-US" w:eastAsia="zh-CN"/>
        </w:rPr>
        <w:t>和</w:t>
      </w:r>
      <w:bookmarkStart w:id="0" w:name="_GoBack"/>
      <w:bookmarkEnd w:id="0"/>
      <w:r>
        <w:rPr>
          <w:rFonts w:hint="eastAsia" w:asciiTheme="minorEastAsia" w:hAnsiTheme="minorEastAsia" w:eastAsiaTheme="minorEastAsia"/>
          <w:sz w:val="24"/>
        </w:rPr>
        <w:t>《国家药监局关于开展化学药品注射剂仿制药质量和疗效一致性评价工作的公告》（2</w:t>
      </w:r>
      <w:r>
        <w:rPr>
          <w:rFonts w:asciiTheme="minorEastAsia" w:hAnsiTheme="minorEastAsia" w:eastAsiaTheme="minorEastAsia"/>
          <w:sz w:val="24"/>
        </w:rPr>
        <w:t>020</w:t>
      </w:r>
      <w:r>
        <w:rPr>
          <w:rFonts w:hint="eastAsia" w:asciiTheme="minorEastAsia" w:hAnsiTheme="minorEastAsia" w:eastAsiaTheme="minorEastAsia"/>
          <w:sz w:val="24"/>
        </w:rPr>
        <w:t>年第</w:t>
      </w:r>
      <w:r>
        <w:rPr>
          <w:rFonts w:asciiTheme="minorEastAsia" w:hAnsiTheme="minorEastAsia" w:eastAsiaTheme="minorEastAsia"/>
          <w:sz w:val="24"/>
        </w:rPr>
        <w:t>62</w:t>
      </w:r>
      <w:r>
        <w:rPr>
          <w:rFonts w:hint="eastAsia" w:asciiTheme="minorEastAsia" w:hAnsiTheme="minorEastAsia" w:eastAsiaTheme="minorEastAsia"/>
          <w:sz w:val="24"/>
        </w:rPr>
        <w:t>号）的规定，批准本品增加</w:t>
      </w:r>
      <w:r>
        <w:rPr>
          <w:sz w:val="24"/>
        </w:rPr>
        <w:t>5</w:t>
      </w:r>
      <w:r>
        <w:rPr>
          <w:rFonts w:hint="eastAsia"/>
          <w:sz w:val="24"/>
        </w:rPr>
        <w:t>ml:1</w:t>
      </w:r>
      <w:r>
        <w:rPr>
          <w:sz w:val="24"/>
        </w:rPr>
        <w:t>00</w:t>
      </w:r>
      <w:r>
        <w:rPr>
          <w:rFonts w:hint="eastAsia"/>
          <w:sz w:val="24"/>
        </w:rPr>
        <w:t>mg规格的补充申请，核发药品批准文号。</w:t>
      </w:r>
      <w:r>
        <w:rPr>
          <w:rFonts w:hint="eastAsia" w:asciiTheme="minorEastAsia" w:hAnsiTheme="minorEastAsia" w:eastAsiaTheme="minorEastAsia"/>
          <w:sz w:val="24"/>
        </w:rPr>
        <w:t>经审查，本品通过仿制药质量和疗效一致性评价。</w:t>
      </w:r>
    </w:p>
    <w:p>
      <w:pPr>
        <w:spacing w:line="360" w:lineRule="auto"/>
        <w:ind w:firstLine="482" w:firstLineChars="200"/>
        <w:rPr>
          <w:rFonts w:hint="eastAsia" w:asciiTheme="minorEastAsia" w:hAnsiTheme="minorEastAsia" w:eastAsiaTheme="minorEastAsia"/>
          <w:b/>
          <w:sz w:val="24"/>
        </w:rPr>
      </w:pPr>
    </w:p>
    <w:p>
      <w:pPr>
        <w:spacing w:line="360" w:lineRule="auto"/>
        <w:ind w:firstLine="482" w:firstLineChars="200"/>
        <w:rPr>
          <w:rFonts w:asciiTheme="minorEastAsia" w:hAnsiTheme="minorEastAsia" w:eastAsiaTheme="minorEastAsia"/>
          <w:sz w:val="24"/>
        </w:rPr>
      </w:pPr>
      <w:r>
        <w:rPr>
          <w:rFonts w:hint="eastAsia" w:asciiTheme="minorEastAsia" w:hAnsiTheme="minorEastAsia" w:eastAsiaTheme="minorEastAsia"/>
          <w:b/>
          <w:sz w:val="24"/>
        </w:rPr>
        <w:t>二、药品的其他相关情况</w:t>
      </w:r>
    </w:p>
    <w:p>
      <w:pPr>
        <w:spacing w:line="360" w:lineRule="auto"/>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盐酸多巴酚丁胺为多巴胺同系物，用于器质性心脏病时心肌收缩力下降引起的心力衰竭，包括心脏直视手术后所致的低排血量综合征，作为短期支持治疗。由美国LILLY公司开发，1978年7月18日获得FDA批准上市（商品名：DOBUTREX®）。</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经查询，盐酸多巴酚丁胺注射液2</w:t>
      </w:r>
      <w:r>
        <w:rPr>
          <w:rFonts w:asciiTheme="minorEastAsia" w:hAnsiTheme="minorEastAsia" w:eastAsiaTheme="minorEastAsia"/>
          <w:sz w:val="24"/>
        </w:rPr>
        <w:t>023</w:t>
      </w:r>
      <w:r>
        <w:rPr>
          <w:rFonts w:hint="eastAsia" w:asciiTheme="minorEastAsia" w:hAnsiTheme="minorEastAsia" w:eastAsiaTheme="minorEastAsia"/>
          <w:sz w:val="24"/>
        </w:rPr>
        <w:t>年前3季度国内样本医院销售额为0</w:t>
      </w:r>
      <w:r>
        <w:rPr>
          <w:rFonts w:asciiTheme="minorEastAsia" w:hAnsiTheme="minorEastAsia" w:eastAsiaTheme="minorEastAsia"/>
          <w:sz w:val="24"/>
        </w:rPr>
        <w:t>.87</w:t>
      </w:r>
      <w:r>
        <w:rPr>
          <w:rFonts w:hint="eastAsia" w:asciiTheme="minorEastAsia" w:hAnsiTheme="minorEastAsia" w:eastAsiaTheme="minorEastAsia"/>
          <w:sz w:val="24"/>
        </w:rPr>
        <w:t>亿元（P</w:t>
      </w:r>
      <w:r>
        <w:rPr>
          <w:rFonts w:asciiTheme="minorEastAsia" w:hAnsiTheme="minorEastAsia" w:eastAsiaTheme="minorEastAsia"/>
          <w:sz w:val="24"/>
        </w:rPr>
        <w:t>DB</w:t>
      </w:r>
      <w:r>
        <w:rPr>
          <w:rFonts w:hint="eastAsia" w:asciiTheme="minorEastAsia" w:hAnsiTheme="minorEastAsia" w:eastAsiaTheme="minorEastAsia"/>
          <w:sz w:val="24"/>
        </w:rPr>
        <w:t>数据库）。作为急诊、ICU、心内科、心外科、儿科等科室急救大品种，盐酸多巴酚丁胺注射液已被纳入《国家基本医疗保险、工伤保险和生育保险药品目录（2023 年）》甲类品种</w:t>
      </w:r>
      <w:r>
        <w:rPr>
          <w:rFonts w:hint="eastAsia" w:asciiTheme="minorEastAsia" w:hAnsiTheme="minorEastAsia" w:eastAsiaTheme="minorEastAsia"/>
          <w:color w:val="auto"/>
          <w:sz w:val="24"/>
          <w:highlight w:val="none"/>
        </w:rPr>
        <w:t>。截至</w:t>
      </w:r>
      <w:r>
        <w:rPr>
          <w:rFonts w:asciiTheme="minorEastAsia" w:hAnsiTheme="minorEastAsia" w:eastAsiaTheme="minorEastAsia"/>
          <w:color w:val="auto"/>
          <w:sz w:val="24"/>
          <w:highlight w:val="none"/>
        </w:rPr>
        <w:t>2024</w:t>
      </w:r>
      <w:r>
        <w:rPr>
          <w:rFonts w:hint="eastAsia" w:asciiTheme="minorEastAsia" w:hAnsiTheme="minorEastAsia" w:eastAsiaTheme="minorEastAsia"/>
          <w:color w:val="auto"/>
          <w:sz w:val="24"/>
          <w:highlight w:val="none"/>
        </w:rPr>
        <w:t>年</w:t>
      </w:r>
      <w:r>
        <w:rPr>
          <w:rFonts w:asciiTheme="minorEastAsia" w:hAnsiTheme="minorEastAsia" w:eastAsiaTheme="minorEastAsia"/>
          <w:color w:val="auto"/>
          <w:sz w:val="24"/>
          <w:highlight w:val="none"/>
        </w:rPr>
        <w:t>02</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rPr>
        <w:t>公</w:t>
      </w:r>
      <w:r>
        <w:rPr>
          <w:rFonts w:hint="eastAsia" w:asciiTheme="minorEastAsia" w:hAnsiTheme="minorEastAsia" w:eastAsiaTheme="minorEastAsia"/>
          <w:sz w:val="24"/>
        </w:rPr>
        <w:t>司盐酸多巴酚丁胺注射液项目共计已投</w:t>
      </w:r>
      <w:r>
        <w:rPr>
          <w:rFonts w:hint="eastAsia" w:asciiTheme="minorEastAsia" w:hAnsiTheme="minorEastAsia" w:eastAsiaTheme="minorEastAsia"/>
          <w:sz w:val="24"/>
          <w:highlight w:val="none"/>
        </w:rPr>
        <w:t>入研发费用约为</w:t>
      </w:r>
      <w:r>
        <w:rPr>
          <w:rFonts w:hint="eastAsia" w:asciiTheme="minorEastAsia" w:hAnsiTheme="minorEastAsia" w:eastAsiaTheme="minorEastAsia"/>
          <w:sz w:val="24"/>
          <w:highlight w:val="none"/>
          <w:lang w:val="en-US" w:eastAsia="zh-CN"/>
        </w:rPr>
        <w:t>623.70</w:t>
      </w:r>
      <w:r>
        <w:rPr>
          <w:rFonts w:hint="eastAsia" w:asciiTheme="minorEastAsia" w:hAnsiTheme="minorEastAsia" w:eastAsiaTheme="minorEastAsia"/>
          <w:sz w:val="24"/>
          <w:highlight w:val="none"/>
        </w:rPr>
        <w:t>万元人民币。</w:t>
      </w:r>
    </w:p>
    <w:p>
      <w:pPr>
        <w:spacing w:line="360" w:lineRule="auto"/>
        <w:ind w:firstLine="482" w:firstLineChars="200"/>
        <w:rPr>
          <w:rFonts w:hint="eastAsia" w:asciiTheme="minorEastAsia" w:hAnsiTheme="minorEastAsia" w:eastAsiaTheme="minorEastAsia"/>
          <w:b/>
          <w:sz w:val="24"/>
        </w:rPr>
      </w:pPr>
    </w:p>
    <w:p>
      <w:pPr>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三、风险提示</w:t>
      </w:r>
    </w:p>
    <w:p>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根据国家相关政策规定，对于通过仿制药一致性评价的药品品种，在医保支付方面予以适当支持，医疗机构应优先采购并在临床中优先选用。同品种药品通过仿制药一致性评价的生产企业达到</w:t>
      </w:r>
      <w:r>
        <w:rPr>
          <w:rFonts w:asciiTheme="minorEastAsia" w:hAnsiTheme="minorEastAsia" w:eastAsiaTheme="minorEastAsia"/>
          <w:sz w:val="24"/>
        </w:rPr>
        <w:t>3</w:t>
      </w:r>
      <w:r>
        <w:rPr>
          <w:rFonts w:hint="eastAsia" w:asciiTheme="minorEastAsia" w:hAnsiTheme="minorEastAsia" w:eastAsiaTheme="minorEastAsia"/>
          <w:sz w:val="24"/>
        </w:rPr>
        <w:t>家以上的，在药品集中采购等方面不再选用未通过仿制药一致性评价的品种。</w:t>
      </w:r>
    </w:p>
    <w:p>
      <w:pPr>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公司盐酸多巴酚丁胺注射液通过仿制药一致性评价，有利于提升该药品的市场竞争力，对该药品的市场销售产生积极影响，同时也为公司后续产品开展仿制药一致性评价工作积累了宝贵的经验。由于医药产品具有高科技、高风险、高附加值等特点，药品销售容易受国家政策、市场环境等因素影响，具有较大不确定性，敬请广大投资者谨慎决策，注意防范投资风险。</w:t>
      </w:r>
    </w:p>
    <w:p>
      <w:pPr>
        <w:spacing w:line="360" w:lineRule="auto"/>
        <w:ind w:firstLine="480"/>
        <w:rPr>
          <w:rFonts w:asciiTheme="minorEastAsia" w:hAnsiTheme="minorEastAsia" w:eastAsiaTheme="minorEastAsia"/>
          <w:sz w:val="24"/>
        </w:rPr>
      </w:pP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特此公告</w:t>
      </w:r>
      <w:r>
        <w:rPr>
          <w:rFonts w:hint="eastAsia" w:asciiTheme="minorEastAsia" w:hAnsiTheme="minorEastAsia" w:eastAsiaTheme="minorEastAsia"/>
          <w:sz w:val="24"/>
        </w:rPr>
        <w:t>。</w:t>
      </w:r>
    </w:p>
    <w:p>
      <w:pPr>
        <w:spacing w:line="360" w:lineRule="auto"/>
        <w:ind w:firstLine="480" w:firstLineChars="200"/>
        <w:rPr>
          <w:rFonts w:asciiTheme="minorEastAsia" w:hAnsiTheme="minorEastAsia" w:eastAsiaTheme="minorEastAsia"/>
          <w:sz w:val="24"/>
        </w:rPr>
      </w:pPr>
    </w:p>
    <w:p>
      <w:pPr>
        <w:spacing w:line="360" w:lineRule="auto"/>
        <w:ind w:firstLine="4320" w:firstLineChars="1800"/>
        <w:jc w:val="right"/>
        <w:rPr>
          <w:rFonts w:asciiTheme="minorEastAsia" w:hAnsiTheme="minorEastAsia" w:eastAsiaTheme="minorEastAsia"/>
          <w:sz w:val="24"/>
        </w:rPr>
      </w:pPr>
      <w:r>
        <w:rPr>
          <w:rFonts w:hint="eastAsia" w:asciiTheme="minorEastAsia" w:hAnsiTheme="minorEastAsia" w:eastAsiaTheme="minorEastAsia"/>
          <w:sz w:val="24"/>
        </w:rPr>
        <w:t>江苏吴中医药发展股份有限公司</w:t>
      </w:r>
    </w:p>
    <w:p>
      <w:pPr>
        <w:spacing w:line="360" w:lineRule="auto"/>
        <w:ind w:right="1200" w:firstLine="4320" w:firstLineChars="1800"/>
        <w:jc w:val="right"/>
        <w:rPr>
          <w:rFonts w:asciiTheme="minorEastAsia" w:hAnsiTheme="minorEastAsia" w:eastAsiaTheme="minorEastAsia"/>
          <w:sz w:val="24"/>
        </w:rPr>
      </w:pPr>
      <w:r>
        <w:rPr>
          <w:rFonts w:hint="eastAsia" w:asciiTheme="minorEastAsia" w:hAnsiTheme="minorEastAsia" w:eastAsiaTheme="minorEastAsia"/>
          <w:sz w:val="24"/>
        </w:rPr>
        <w:t>董事会</w:t>
      </w:r>
    </w:p>
    <w:p>
      <w:pPr>
        <w:spacing w:line="360" w:lineRule="auto"/>
        <w:ind w:right="480" w:firstLine="5220" w:firstLineChars="2175"/>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rPr>
        <w:t>2024</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6</w:t>
      </w:r>
      <w:r>
        <w:rPr>
          <w:rFonts w:hint="eastAsia"/>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EwMDkyNTZjMzMwNGNiNWI4YzBkN2FjZjU1MzgyMDgifQ=="/>
  </w:docVars>
  <w:rsids>
    <w:rsidRoot w:val="00822F24"/>
    <w:rsid w:val="00015559"/>
    <w:rsid w:val="0003171D"/>
    <w:rsid w:val="000377FA"/>
    <w:rsid w:val="00061172"/>
    <w:rsid w:val="00065A39"/>
    <w:rsid w:val="00075811"/>
    <w:rsid w:val="000A0812"/>
    <w:rsid w:val="000A0C1A"/>
    <w:rsid w:val="000B125C"/>
    <w:rsid w:val="000C1EBF"/>
    <w:rsid w:val="000C4E75"/>
    <w:rsid w:val="000D5160"/>
    <w:rsid w:val="000E5928"/>
    <w:rsid w:val="000E6390"/>
    <w:rsid w:val="000F76E7"/>
    <w:rsid w:val="00101704"/>
    <w:rsid w:val="00101E5C"/>
    <w:rsid w:val="00115DE0"/>
    <w:rsid w:val="00125EB5"/>
    <w:rsid w:val="00141A30"/>
    <w:rsid w:val="0014235B"/>
    <w:rsid w:val="001424D5"/>
    <w:rsid w:val="001449C0"/>
    <w:rsid w:val="00162AAA"/>
    <w:rsid w:val="00167B35"/>
    <w:rsid w:val="00184711"/>
    <w:rsid w:val="001A39F7"/>
    <w:rsid w:val="001A67E6"/>
    <w:rsid w:val="001A6F91"/>
    <w:rsid w:val="001C4C14"/>
    <w:rsid w:val="001E45EA"/>
    <w:rsid w:val="001F698F"/>
    <w:rsid w:val="001F69B6"/>
    <w:rsid w:val="002442A3"/>
    <w:rsid w:val="0024642E"/>
    <w:rsid w:val="002468DD"/>
    <w:rsid w:val="0025523D"/>
    <w:rsid w:val="0025726D"/>
    <w:rsid w:val="0025795B"/>
    <w:rsid w:val="002619BA"/>
    <w:rsid w:val="002629E4"/>
    <w:rsid w:val="0027220C"/>
    <w:rsid w:val="002808AB"/>
    <w:rsid w:val="00287ABD"/>
    <w:rsid w:val="002B5D18"/>
    <w:rsid w:val="002B7CCB"/>
    <w:rsid w:val="002C6C83"/>
    <w:rsid w:val="002C71E7"/>
    <w:rsid w:val="002D2369"/>
    <w:rsid w:val="00324EB8"/>
    <w:rsid w:val="00335A49"/>
    <w:rsid w:val="0037322E"/>
    <w:rsid w:val="00374DEE"/>
    <w:rsid w:val="003870CC"/>
    <w:rsid w:val="00393F12"/>
    <w:rsid w:val="003961E4"/>
    <w:rsid w:val="003B5345"/>
    <w:rsid w:val="003C26EF"/>
    <w:rsid w:val="003C607D"/>
    <w:rsid w:val="003D11DA"/>
    <w:rsid w:val="003D3FFF"/>
    <w:rsid w:val="003D519D"/>
    <w:rsid w:val="003E355B"/>
    <w:rsid w:val="00400A0B"/>
    <w:rsid w:val="00420E77"/>
    <w:rsid w:val="0044293B"/>
    <w:rsid w:val="004434F9"/>
    <w:rsid w:val="004502F4"/>
    <w:rsid w:val="0048600D"/>
    <w:rsid w:val="00496E8A"/>
    <w:rsid w:val="004C27B9"/>
    <w:rsid w:val="004D085C"/>
    <w:rsid w:val="004D2B54"/>
    <w:rsid w:val="004D55EE"/>
    <w:rsid w:val="004E363D"/>
    <w:rsid w:val="004F1F15"/>
    <w:rsid w:val="00530B35"/>
    <w:rsid w:val="0053544C"/>
    <w:rsid w:val="00541270"/>
    <w:rsid w:val="005712CB"/>
    <w:rsid w:val="00577CBB"/>
    <w:rsid w:val="005A096A"/>
    <w:rsid w:val="005B4F18"/>
    <w:rsid w:val="005C3668"/>
    <w:rsid w:val="005D12EB"/>
    <w:rsid w:val="005D4ACB"/>
    <w:rsid w:val="005E3D50"/>
    <w:rsid w:val="00611C55"/>
    <w:rsid w:val="00615D49"/>
    <w:rsid w:val="006412D7"/>
    <w:rsid w:val="00662769"/>
    <w:rsid w:val="00671263"/>
    <w:rsid w:val="00683AED"/>
    <w:rsid w:val="00695D72"/>
    <w:rsid w:val="006A70F0"/>
    <w:rsid w:val="006B29CA"/>
    <w:rsid w:val="006B2B65"/>
    <w:rsid w:val="006B6429"/>
    <w:rsid w:val="006B6ABC"/>
    <w:rsid w:val="006F0C69"/>
    <w:rsid w:val="006F2848"/>
    <w:rsid w:val="007001F0"/>
    <w:rsid w:val="007014FC"/>
    <w:rsid w:val="00721923"/>
    <w:rsid w:val="007242FF"/>
    <w:rsid w:val="007276FE"/>
    <w:rsid w:val="00752B45"/>
    <w:rsid w:val="007564B5"/>
    <w:rsid w:val="00756C13"/>
    <w:rsid w:val="0078398F"/>
    <w:rsid w:val="0079312B"/>
    <w:rsid w:val="007D2FA5"/>
    <w:rsid w:val="007D40FA"/>
    <w:rsid w:val="007E21F2"/>
    <w:rsid w:val="00802A0A"/>
    <w:rsid w:val="0080439D"/>
    <w:rsid w:val="00810186"/>
    <w:rsid w:val="00817019"/>
    <w:rsid w:val="00822F24"/>
    <w:rsid w:val="008478B8"/>
    <w:rsid w:val="00851B7B"/>
    <w:rsid w:val="00854F0E"/>
    <w:rsid w:val="00890241"/>
    <w:rsid w:val="008929AD"/>
    <w:rsid w:val="00893296"/>
    <w:rsid w:val="008935D4"/>
    <w:rsid w:val="008A0AED"/>
    <w:rsid w:val="008B2187"/>
    <w:rsid w:val="008E57CC"/>
    <w:rsid w:val="008E69C2"/>
    <w:rsid w:val="008F6AB5"/>
    <w:rsid w:val="00903BC7"/>
    <w:rsid w:val="00933FA5"/>
    <w:rsid w:val="00954CB7"/>
    <w:rsid w:val="00955A3F"/>
    <w:rsid w:val="0096769A"/>
    <w:rsid w:val="00982C00"/>
    <w:rsid w:val="009B55B4"/>
    <w:rsid w:val="009E6EE3"/>
    <w:rsid w:val="009E7C73"/>
    <w:rsid w:val="00A24E3B"/>
    <w:rsid w:val="00A267F9"/>
    <w:rsid w:val="00A36B42"/>
    <w:rsid w:val="00A56241"/>
    <w:rsid w:val="00A60062"/>
    <w:rsid w:val="00A7458C"/>
    <w:rsid w:val="00A842DF"/>
    <w:rsid w:val="00AA10D4"/>
    <w:rsid w:val="00AC7ABF"/>
    <w:rsid w:val="00AD1B29"/>
    <w:rsid w:val="00AF0BC6"/>
    <w:rsid w:val="00B01347"/>
    <w:rsid w:val="00B07E79"/>
    <w:rsid w:val="00B12AF4"/>
    <w:rsid w:val="00B2024D"/>
    <w:rsid w:val="00B31A8D"/>
    <w:rsid w:val="00B3787A"/>
    <w:rsid w:val="00B50C75"/>
    <w:rsid w:val="00B8499C"/>
    <w:rsid w:val="00BB51F4"/>
    <w:rsid w:val="00BB5F62"/>
    <w:rsid w:val="00BD77B9"/>
    <w:rsid w:val="00BF68F7"/>
    <w:rsid w:val="00C00973"/>
    <w:rsid w:val="00C01D90"/>
    <w:rsid w:val="00C05E74"/>
    <w:rsid w:val="00C14435"/>
    <w:rsid w:val="00C20A80"/>
    <w:rsid w:val="00C23775"/>
    <w:rsid w:val="00C447F7"/>
    <w:rsid w:val="00C460EF"/>
    <w:rsid w:val="00C75DF2"/>
    <w:rsid w:val="00CA3D17"/>
    <w:rsid w:val="00CA4136"/>
    <w:rsid w:val="00CC65AD"/>
    <w:rsid w:val="00CC76E0"/>
    <w:rsid w:val="00CD5891"/>
    <w:rsid w:val="00CD6EAB"/>
    <w:rsid w:val="00CF3298"/>
    <w:rsid w:val="00CF42BE"/>
    <w:rsid w:val="00D04CBB"/>
    <w:rsid w:val="00D11EEC"/>
    <w:rsid w:val="00D21B8D"/>
    <w:rsid w:val="00D26D15"/>
    <w:rsid w:val="00D40982"/>
    <w:rsid w:val="00D45281"/>
    <w:rsid w:val="00D53DC4"/>
    <w:rsid w:val="00D55653"/>
    <w:rsid w:val="00D716AD"/>
    <w:rsid w:val="00D75ED0"/>
    <w:rsid w:val="00D90BC6"/>
    <w:rsid w:val="00DE3DEF"/>
    <w:rsid w:val="00DF046D"/>
    <w:rsid w:val="00E003D0"/>
    <w:rsid w:val="00E025CD"/>
    <w:rsid w:val="00E05034"/>
    <w:rsid w:val="00E20122"/>
    <w:rsid w:val="00E2014F"/>
    <w:rsid w:val="00E220DE"/>
    <w:rsid w:val="00E74755"/>
    <w:rsid w:val="00E865A5"/>
    <w:rsid w:val="00E9529E"/>
    <w:rsid w:val="00E962FF"/>
    <w:rsid w:val="00E96761"/>
    <w:rsid w:val="00EA6444"/>
    <w:rsid w:val="00EB5595"/>
    <w:rsid w:val="00EB7FBA"/>
    <w:rsid w:val="00EC519B"/>
    <w:rsid w:val="00ED1504"/>
    <w:rsid w:val="00EE7554"/>
    <w:rsid w:val="00F03FA2"/>
    <w:rsid w:val="00F160FF"/>
    <w:rsid w:val="00F21312"/>
    <w:rsid w:val="00F36CA2"/>
    <w:rsid w:val="00F3721A"/>
    <w:rsid w:val="00F37C96"/>
    <w:rsid w:val="00F53D38"/>
    <w:rsid w:val="00F56C28"/>
    <w:rsid w:val="00F75998"/>
    <w:rsid w:val="00F9207E"/>
    <w:rsid w:val="00FA5496"/>
    <w:rsid w:val="00FA62E1"/>
    <w:rsid w:val="00FA79E8"/>
    <w:rsid w:val="00FE5ACA"/>
    <w:rsid w:val="16693AD4"/>
    <w:rsid w:val="1E810779"/>
    <w:rsid w:val="24155071"/>
    <w:rsid w:val="3F6E7EBB"/>
    <w:rsid w:val="46CF5187"/>
    <w:rsid w:val="47623541"/>
    <w:rsid w:val="48C0006A"/>
    <w:rsid w:val="4CAB21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character" w:customStyle="1" w:styleId="7">
    <w:name w:val="页眉 字符"/>
    <w:basedOn w:val="6"/>
    <w:link w:val="3"/>
    <w:autoRedefine/>
    <w:qFormat/>
    <w:uiPriority w:val="99"/>
    <w:rPr>
      <w:sz w:val="18"/>
      <w:szCs w:val="18"/>
    </w:rPr>
  </w:style>
  <w:style w:type="character" w:customStyle="1" w:styleId="8">
    <w:name w:val="页脚 字符"/>
    <w:basedOn w:val="6"/>
    <w:link w:val="2"/>
    <w:autoRedefine/>
    <w:qFormat/>
    <w:uiPriority w:val="99"/>
    <w:rPr>
      <w:sz w:val="18"/>
      <w:szCs w:val="18"/>
    </w:rPr>
  </w:style>
  <w:style w:type="paragraph" w:customStyle="1" w:styleId="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198</Words>
  <Characters>1130</Characters>
  <Lines>9</Lines>
  <Paragraphs>2</Paragraphs>
  <TotalTime>1</TotalTime>
  <ScaleCrop>false</ScaleCrop>
  <LinksUpToDate>false</LinksUpToDate>
  <CharactersWithSpaces>1326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2024-02-28T02:57:00Z</dcterms:created>
  <dc:creator>李锐</dc:creator>
  <cp:lastModifiedBy>王雅杰</cp:lastModifiedBy>
  <cp:lastPrinted>2024-03-05T08:45:30Z</cp:lastPrinted>
  <dcterms:modified xsi:type="dcterms:W3CDTF">2024-03-05T08:45:33Z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E67B62BC87D14C9492B863DA7F0D953A_12</vt:lpwstr>
  </property>
</Properties>
</file>