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53" w:rightChars="-73"/>
        <w:jc w:val="center"/>
        <w:rPr>
          <w:rFonts w:hint="default" w:asciiTheme="minorEastAsia" w:hAnsiTheme="minorEastAsia" w:eastAsiaTheme="minorEastAsia"/>
          <w:b/>
          <w:bCs/>
          <w:color w:val="FF0000"/>
          <w:sz w:val="32"/>
          <w:lang w:val="en-US" w:eastAsia="zh-CN"/>
        </w:rPr>
      </w:pPr>
      <w:r>
        <w:rPr>
          <w:rFonts w:hint="eastAsia" w:asciiTheme="minorEastAsia" w:hAnsiTheme="minorEastAsia" w:eastAsiaTheme="minorEastAsia"/>
          <w:color w:val="000000"/>
          <w:kern w:val="0"/>
          <w:sz w:val="24"/>
        </w:rPr>
        <w:t>证券代码：</w:t>
      </w:r>
      <w:r>
        <w:rPr>
          <w:rFonts w:asciiTheme="minorEastAsia" w:hAnsiTheme="minorEastAsia" w:eastAsiaTheme="minorEastAsia"/>
          <w:color w:val="000000"/>
          <w:kern w:val="0"/>
          <w:sz w:val="24"/>
        </w:rPr>
        <w:t xml:space="preserve">600200         </w:t>
      </w:r>
      <w:r>
        <w:rPr>
          <w:rFonts w:hint="eastAsia" w:asciiTheme="minorEastAsia" w:hAnsiTheme="minorEastAsia" w:eastAsiaTheme="minorEastAsia"/>
          <w:color w:val="000000"/>
          <w:kern w:val="0"/>
          <w:sz w:val="24"/>
        </w:rPr>
        <w:t>证券简称：江苏吴中</w:t>
      </w:r>
      <w:r>
        <w:rPr>
          <w:rFonts w:asciiTheme="minorEastAsia" w:hAnsiTheme="minorEastAsia" w:eastAsiaTheme="minorEastAsia"/>
          <w:color w:val="000000"/>
          <w:kern w:val="0"/>
          <w:sz w:val="24"/>
        </w:rPr>
        <w:t xml:space="preserve">      </w:t>
      </w:r>
      <w:r>
        <w:rPr>
          <w:rFonts w:hint="eastAsia" w:asciiTheme="minorEastAsia" w:hAnsiTheme="minorEastAsia" w:eastAsiaTheme="minorEastAsia"/>
          <w:color w:val="000000"/>
          <w:kern w:val="0"/>
          <w:sz w:val="24"/>
        </w:rPr>
        <w:t>公告编号：临</w:t>
      </w:r>
      <w:r>
        <w:rPr>
          <w:rFonts w:asciiTheme="minorEastAsia" w:hAnsiTheme="minorEastAsia" w:eastAsiaTheme="minorEastAsia"/>
          <w:color w:val="000000"/>
          <w:kern w:val="0"/>
          <w:sz w:val="24"/>
        </w:rPr>
        <w:t>202</w:t>
      </w:r>
      <w:r>
        <w:rPr>
          <w:rFonts w:hint="eastAsia" w:asciiTheme="minorEastAsia" w:hAnsiTheme="minorEastAsia" w:eastAsiaTheme="minorEastAsia"/>
          <w:color w:val="000000"/>
          <w:kern w:val="0"/>
          <w:sz w:val="24"/>
          <w:lang w:val="en-US" w:eastAsia="zh-CN"/>
        </w:rPr>
        <w:t>4</w:t>
      </w:r>
      <w:r>
        <w:rPr>
          <w:rFonts w:asciiTheme="minorEastAsia" w:hAnsiTheme="minorEastAsia" w:eastAsiaTheme="minorEastAsia"/>
          <w:color w:val="000000"/>
          <w:kern w:val="0"/>
          <w:sz w:val="24"/>
        </w:rPr>
        <w:t>-</w:t>
      </w:r>
      <w:r>
        <w:rPr>
          <w:rFonts w:hint="eastAsia" w:asciiTheme="minorEastAsia" w:hAnsiTheme="minorEastAsia" w:eastAsiaTheme="minorEastAsia"/>
          <w:color w:val="000000"/>
          <w:kern w:val="0"/>
          <w:sz w:val="24"/>
        </w:rPr>
        <w:t>0</w:t>
      </w:r>
      <w:r>
        <w:rPr>
          <w:rFonts w:hint="eastAsia" w:asciiTheme="minorEastAsia" w:hAnsiTheme="minorEastAsia" w:eastAsiaTheme="minorEastAsia"/>
          <w:color w:val="000000"/>
          <w:kern w:val="0"/>
          <w:sz w:val="24"/>
          <w:lang w:val="en-US" w:eastAsia="zh-CN"/>
        </w:rPr>
        <w:t>14</w:t>
      </w:r>
    </w:p>
    <w:p>
      <w:pPr>
        <w:spacing w:line="360" w:lineRule="auto"/>
        <w:ind w:right="-153" w:rightChars="-73"/>
        <w:jc w:val="center"/>
        <w:rPr>
          <w:rFonts w:eastAsia="黑体"/>
          <w:b/>
          <w:bCs/>
          <w:color w:val="FF0000"/>
          <w:sz w:val="32"/>
        </w:rPr>
      </w:pPr>
    </w:p>
    <w:p>
      <w:pPr>
        <w:spacing w:line="360" w:lineRule="auto"/>
        <w:ind w:right="-153" w:rightChars="-73"/>
        <w:jc w:val="center"/>
        <w:rPr>
          <w:rFonts w:eastAsia="黑体"/>
          <w:b/>
          <w:bCs/>
          <w:color w:val="FF0000"/>
          <w:sz w:val="32"/>
        </w:rPr>
      </w:pPr>
      <w:r>
        <w:rPr>
          <w:rFonts w:hint="eastAsia" w:eastAsia="黑体"/>
          <w:b/>
          <w:bCs/>
          <w:color w:val="FF0000"/>
          <w:sz w:val="32"/>
        </w:rPr>
        <w:t>江苏吴中医药发展股份有限公司</w:t>
      </w:r>
    </w:p>
    <w:p>
      <w:pPr>
        <w:spacing w:line="360" w:lineRule="auto"/>
        <w:ind w:right="-153" w:rightChars="-73"/>
        <w:jc w:val="center"/>
        <w:rPr>
          <w:rFonts w:eastAsia="黑体"/>
          <w:b/>
          <w:bCs/>
          <w:color w:val="FF0000"/>
          <w:sz w:val="32"/>
        </w:rPr>
      </w:pPr>
      <w:r>
        <w:rPr>
          <w:rFonts w:hint="eastAsia" w:eastAsia="黑体"/>
          <w:b/>
          <w:bCs/>
          <w:color w:val="FF0000"/>
          <w:sz w:val="32"/>
        </w:rPr>
        <w:t>关于帕拉米韦注射液批准上市的公告</w:t>
      </w:r>
    </w:p>
    <w:p>
      <w:pPr>
        <w:autoSpaceDE w:val="0"/>
        <w:autoSpaceDN w:val="0"/>
        <w:adjustRightInd w:val="0"/>
        <w:spacing w:line="360" w:lineRule="auto"/>
        <w:ind w:firstLine="482" w:firstLineChars="200"/>
        <w:rPr>
          <w:b/>
          <w:sz w:val="24"/>
        </w:rPr>
      </w:pPr>
    </w:p>
    <w:p>
      <w:pPr>
        <w:autoSpaceDE w:val="0"/>
        <w:autoSpaceDN w:val="0"/>
        <w:adjustRightInd w:val="0"/>
        <w:spacing w:line="360" w:lineRule="auto"/>
        <w:ind w:firstLine="482" w:firstLineChars="200"/>
        <w:rPr>
          <w:b/>
          <w:sz w:val="24"/>
        </w:rPr>
      </w:pPr>
      <w:r>
        <w:rPr>
          <w:rFonts w:hint="eastAsia"/>
          <w:b/>
          <w:sz w:val="24"/>
        </w:rPr>
        <w:t>本公司董事会及董事会全体成员保证公告内容不存在虚假记载、误导性陈述或者重大遗漏，并对其内容的真实、准确和完整承担</w:t>
      </w:r>
      <w:r>
        <w:rPr>
          <w:rFonts w:hint="eastAsia"/>
          <w:b/>
          <w:sz w:val="24"/>
          <w:lang w:val="en-US" w:eastAsia="zh-CN"/>
        </w:rPr>
        <w:t>法律</w:t>
      </w:r>
      <w:r>
        <w:rPr>
          <w:rFonts w:hint="eastAsia"/>
          <w:b/>
          <w:sz w:val="24"/>
        </w:rPr>
        <w:t>责任。</w:t>
      </w:r>
    </w:p>
    <w:p>
      <w:pPr>
        <w:pStyle w:val="9"/>
        <w:spacing w:line="360" w:lineRule="auto"/>
        <w:rPr>
          <w:rFonts w:cs="Times New Roman" w:asciiTheme="minorEastAsia" w:hAnsiTheme="minorEastAsia" w:eastAsiaTheme="minorEastAsia"/>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近日，江苏吴中医药发展股份有限公司(以下简称“公司”)全资子公司江苏吴中医药集团有限公司下属分支机构江苏吴中医药集团有限公司苏州制药厂（以下简称“苏州制药厂”）收到了国家药品监督管理局（以下简称“国家药监局”）核准签发的关于“帕拉米韦注射液”（以下简称“该药品”或“本品”）的《药品注册证书》（证书编号：2024S00266），该药品符合药品注册有关要求，批准注册。现将相关情况公告如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一、药品基本情况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药品名称：帕拉米韦注射液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剂型：注射剂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规格：15ml:0</w:t>
      </w:r>
      <w:r>
        <w:rPr>
          <w:rFonts w:hint="eastAsia" w:asciiTheme="minorEastAsia" w:hAnsiTheme="minorEastAsia" w:eastAsiaTheme="minorEastAsia" w:cstheme="minorEastAsia"/>
          <w:sz w:val="24"/>
          <w:szCs w:val="24"/>
          <w:shd w:val="clear" w:color="auto" w:fill="FFFFFF"/>
          <w:lang w:val="en-US" w:eastAsia="zh-CN"/>
        </w:rPr>
        <w:t>.</w:t>
      </w:r>
      <w:r>
        <w:rPr>
          <w:rFonts w:hint="eastAsia" w:asciiTheme="minorEastAsia" w:hAnsiTheme="minorEastAsia" w:eastAsiaTheme="minorEastAsia" w:cstheme="minorEastAsia"/>
          <w:sz w:val="24"/>
          <w:szCs w:val="24"/>
          <w:shd w:val="clear" w:color="auto" w:fill="FFFFFF"/>
        </w:rPr>
        <w:t>15g（按</w:t>
      </w:r>
      <w:r>
        <w:rPr>
          <w:rFonts w:hint="eastAsia" w:asciiTheme="minorEastAsia" w:hAnsiTheme="minorEastAsia" w:eastAsiaTheme="minorEastAsia" w:cstheme="minorEastAsia"/>
          <w:sz w:val="24"/>
          <w:szCs w:val="24"/>
          <w:shd w:val="clear" w:color="auto" w:fill="FFFFFF"/>
          <w:lang w:val="ja-JP"/>
        </w:rPr>
        <w:t>C</w:t>
      </w:r>
      <w:r>
        <w:rPr>
          <w:rFonts w:hint="eastAsia" w:asciiTheme="minorEastAsia" w:hAnsiTheme="minorEastAsia" w:eastAsiaTheme="minorEastAsia" w:cstheme="minorEastAsia"/>
          <w:sz w:val="24"/>
          <w:szCs w:val="24"/>
          <w:shd w:val="clear" w:color="auto" w:fill="FFFFFF"/>
          <w:vertAlign w:val="subscript"/>
          <w:lang w:val="ja-JP"/>
        </w:rPr>
        <w:t>15</w:t>
      </w:r>
      <w:r>
        <w:rPr>
          <w:rFonts w:hint="eastAsia" w:asciiTheme="minorEastAsia" w:hAnsiTheme="minorEastAsia" w:eastAsiaTheme="minorEastAsia" w:cstheme="minorEastAsia"/>
          <w:sz w:val="24"/>
          <w:szCs w:val="24"/>
          <w:shd w:val="clear" w:color="auto" w:fill="FFFFFF"/>
          <w:lang w:val="ja-JP"/>
        </w:rPr>
        <w:t>H</w:t>
      </w:r>
      <w:r>
        <w:rPr>
          <w:rFonts w:hint="eastAsia" w:asciiTheme="minorEastAsia" w:hAnsiTheme="minorEastAsia" w:eastAsiaTheme="minorEastAsia" w:cstheme="minorEastAsia"/>
          <w:sz w:val="24"/>
          <w:szCs w:val="24"/>
          <w:shd w:val="clear" w:color="auto" w:fill="FFFFFF"/>
          <w:vertAlign w:val="subscript"/>
          <w:lang w:val="ja-JP"/>
        </w:rPr>
        <w:t>28</w:t>
      </w:r>
      <w:r>
        <w:rPr>
          <w:rFonts w:hint="eastAsia" w:asciiTheme="minorEastAsia" w:hAnsiTheme="minorEastAsia" w:eastAsiaTheme="minorEastAsia" w:cstheme="minorEastAsia"/>
          <w:sz w:val="24"/>
          <w:szCs w:val="24"/>
          <w:shd w:val="clear" w:color="auto" w:fill="FFFFFF"/>
          <w:lang w:val="ja-JP"/>
        </w:rPr>
        <w:t>N</w:t>
      </w:r>
      <w:r>
        <w:rPr>
          <w:rFonts w:hint="eastAsia" w:asciiTheme="minorEastAsia" w:hAnsiTheme="minorEastAsia" w:eastAsiaTheme="minorEastAsia" w:cstheme="minorEastAsia"/>
          <w:sz w:val="24"/>
          <w:szCs w:val="24"/>
          <w:shd w:val="clear" w:color="auto" w:fill="FFFFFF"/>
          <w:vertAlign w:val="subscript"/>
          <w:lang w:val="ja-JP"/>
        </w:rPr>
        <w:t>4</w:t>
      </w:r>
      <w:r>
        <w:rPr>
          <w:rFonts w:hint="eastAsia" w:asciiTheme="minorEastAsia" w:hAnsiTheme="minorEastAsia" w:eastAsiaTheme="minorEastAsia" w:cstheme="minorEastAsia"/>
          <w:sz w:val="24"/>
          <w:szCs w:val="24"/>
          <w:shd w:val="clear" w:color="auto" w:fill="FFFFFF"/>
          <w:lang w:val="ja-JP"/>
        </w:rPr>
        <w:t>O</w:t>
      </w:r>
      <w:r>
        <w:rPr>
          <w:rFonts w:hint="eastAsia" w:asciiTheme="minorEastAsia" w:hAnsiTheme="minorEastAsia" w:eastAsiaTheme="minorEastAsia" w:cstheme="minorEastAsia"/>
          <w:sz w:val="24"/>
          <w:szCs w:val="24"/>
          <w:shd w:val="clear" w:color="auto" w:fill="FFFFFF"/>
          <w:vertAlign w:val="subscript"/>
          <w:lang w:val="ja-JP"/>
        </w:rPr>
        <w:t>4</w:t>
      </w:r>
      <w:r>
        <w:rPr>
          <w:rFonts w:hint="eastAsia" w:asciiTheme="minorEastAsia" w:hAnsiTheme="minorEastAsia" w:eastAsiaTheme="minorEastAsia" w:cstheme="minorEastAsia"/>
          <w:sz w:val="24"/>
          <w:szCs w:val="24"/>
          <w:shd w:val="clear" w:color="auto" w:fill="FFFFFF"/>
        </w:rPr>
        <w:t>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药品批准文号：国药准字H20243215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注册分类：化学药品3类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上市许可持有人：江苏吴中医药集团有限公司苏州制药厂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药品生产企业：江苏吴中医药集团有限公司苏州制药厂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shd w:val="clear" w:color="auto" w:fill="FFFFFF"/>
        </w:rPr>
        <w:t>受理号：</w:t>
      </w:r>
      <w:r>
        <w:rPr>
          <w:rFonts w:hint="eastAsia" w:asciiTheme="minorEastAsia" w:hAnsiTheme="minorEastAsia" w:eastAsiaTheme="minorEastAsia" w:cstheme="minorEastAsia"/>
          <w:sz w:val="24"/>
          <w:szCs w:val="24"/>
        </w:rPr>
        <w:t>CYHS2201192国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shd w:val="clear" w:color="auto" w:fill="FFFFFF"/>
        </w:rPr>
        <w:t>证书编号：</w:t>
      </w:r>
      <w:r>
        <w:rPr>
          <w:rFonts w:hint="eastAsia" w:asciiTheme="minorEastAsia" w:hAnsiTheme="minorEastAsia" w:eastAsiaTheme="minorEastAsia" w:cstheme="minorEastAsia"/>
          <w:sz w:val="24"/>
          <w:szCs w:val="24"/>
        </w:rPr>
        <w:t>2024S00266</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shd w:val="clear" w:color="auto" w:fill="FFFFFF"/>
        </w:rPr>
        <w:t>审批结论：</w:t>
      </w:r>
      <w:r>
        <w:rPr>
          <w:rFonts w:hint="eastAsia" w:asciiTheme="minorEastAsia" w:hAnsiTheme="minorEastAsia" w:eastAsiaTheme="minorEastAsia" w:cstheme="minorEastAsia"/>
          <w:sz w:val="24"/>
          <w:szCs w:val="24"/>
        </w:rPr>
        <w:t>根据《中华人民共和国药品管理法》及有关规定，经审查，本品符合药品注册的有关要求，批准注册，发给药品注册证书。</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二、药品的其他相关情况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Cs/>
          <w:kern w:val="0"/>
          <w:sz w:val="24"/>
          <w:szCs w:val="24"/>
        </w:rPr>
      </w:pPr>
      <w:r>
        <w:rPr>
          <w:rFonts w:hint="eastAsia" w:asciiTheme="minorEastAsia" w:hAnsiTheme="minorEastAsia" w:eastAsiaTheme="minorEastAsia" w:cstheme="minorEastAsia"/>
          <w:bCs/>
          <w:kern w:val="0"/>
          <w:sz w:val="24"/>
          <w:szCs w:val="24"/>
        </w:rPr>
        <w:t>流感病毒引起的流行性感冒每年呈季节性流行，老年人、年幼儿童、孕产妇、肥胖和有慢性基础疾病者等高危人群易出现肺炎等并发症，个别有慢性基础疾病者还会出现基础疾病加重发展成重症从而危及生命的情况。帕拉米韦是新一代神经氨酸酶抑制剂，可选择性地抑制人甲型和乙型流感病毒的神经氨酸酶，抑制成熟的流感病毒脱离宿主细胞，达到抑制流感病毒在人体内的传播以起到治疗流行性感冒的作用，可用于治疗全年龄段的甲型或乙型流行性感冒患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帕拉米韦注射液最早由日本盐野义制药株式会社自美国BioCryst公司引进并将其作为流感病毒感染症治疗药物于2007年在日本进行开发，于2010年最先在日本上市（商品名为RAPIACTA）。2013年国家食品药品监督管理总局批准了广州南新制药有限公司的抗流感新药帕拉米韦氯化钠注射液上市许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经查询，帕拉米韦注射液2023年前三季度国内样本医院销售额约为1.52亿元（PDB数据库）。截至2024年02月，公司帕拉米韦注射液</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shd w:val="clear" w:color="auto" w:fill="FFFFFF"/>
        </w:rPr>
        <w:t>15ml:0</w:t>
      </w:r>
      <w:r>
        <w:rPr>
          <w:rFonts w:hint="eastAsia" w:asciiTheme="minorEastAsia" w:hAnsiTheme="minorEastAsia" w:eastAsiaTheme="minorEastAsia" w:cstheme="minorEastAsia"/>
          <w:sz w:val="24"/>
          <w:szCs w:val="24"/>
          <w:shd w:val="clear" w:color="auto" w:fill="FFFFFF"/>
          <w:lang w:val="en-US" w:eastAsia="zh-CN"/>
        </w:rPr>
        <w:t>.</w:t>
      </w:r>
      <w:r>
        <w:rPr>
          <w:rFonts w:hint="eastAsia" w:asciiTheme="minorEastAsia" w:hAnsiTheme="minorEastAsia" w:eastAsiaTheme="minorEastAsia" w:cstheme="minorEastAsia"/>
          <w:sz w:val="24"/>
          <w:szCs w:val="24"/>
          <w:shd w:val="clear" w:color="auto" w:fill="FFFFFF"/>
        </w:rPr>
        <w:t>15g</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项目共计已投入研发费用约</w:t>
      </w:r>
      <w:r>
        <w:rPr>
          <w:rFonts w:hint="eastAsia" w:asciiTheme="minorEastAsia" w:hAnsiTheme="minorEastAsia" w:eastAsiaTheme="minorEastAsia" w:cstheme="minorEastAsia"/>
          <w:sz w:val="24"/>
          <w:szCs w:val="24"/>
          <w:highlight w:val="none"/>
        </w:rPr>
        <w:t>为</w:t>
      </w:r>
      <w:r>
        <w:rPr>
          <w:rFonts w:hint="eastAsia" w:asciiTheme="minorEastAsia" w:hAnsiTheme="minorEastAsia" w:eastAsiaTheme="minorEastAsia" w:cstheme="minorEastAsia"/>
          <w:sz w:val="24"/>
          <w:szCs w:val="24"/>
          <w:highlight w:val="none"/>
          <w:lang w:val="en-US" w:eastAsia="zh-CN"/>
        </w:rPr>
        <w:t>555.20</w:t>
      </w:r>
      <w:r>
        <w:rPr>
          <w:rFonts w:hint="eastAsia" w:asciiTheme="minorEastAsia" w:hAnsiTheme="minorEastAsia" w:eastAsiaTheme="minorEastAsia" w:cstheme="minorEastAsia"/>
          <w:sz w:val="24"/>
          <w:szCs w:val="24"/>
          <w:highlight w:val="none"/>
        </w:rPr>
        <w:t>万元人</w:t>
      </w:r>
      <w:r>
        <w:rPr>
          <w:rFonts w:hint="eastAsia" w:asciiTheme="minorEastAsia" w:hAnsiTheme="minorEastAsia" w:eastAsiaTheme="minorEastAsia" w:cstheme="minorEastAsia"/>
          <w:sz w:val="24"/>
          <w:szCs w:val="24"/>
        </w:rPr>
        <w:t>民币。</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三、风险提示</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国家相关政策规定，对于通过仿制药一致性评价的药品品种，在医保支付方面予以适当支持，医疗机构应优先采购并在临床中优先选用。同品种药品通过仿制药一致性评价的生产企业达到3家以上的，在药品集中采购等方面不再选用未通过仿制药一致性评价的品种。</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帕拉米韦注射液按化学药品3类批准生产，视同通过仿制药一致性评价，有利于提升该药品的市场竞争力，对该药品的市场销售产生积极影响，同时也为公司后续产品开展仿制药工作积累了宝贵的经验。由于医药产品具有高科技、高风险、高附加值等特点，药品销售容易受国家政策、市场环境等因素影响，具有较大不确定性，敬请广大投资者谨慎决策，注意防范投资风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bookmarkStart w:id="0" w:name="_GoBack"/>
      <w:bookmarkEnd w:id="0"/>
      <w:r>
        <w:rPr>
          <w:rFonts w:hint="eastAsia" w:asciiTheme="minorEastAsia" w:hAnsiTheme="minorEastAsia" w:eastAsiaTheme="minorEastAsia" w:cstheme="minorEastAsia"/>
          <w:sz w:val="24"/>
          <w:szCs w:val="24"/>
        </w:rPr>
        <w:t>特此公告。</w:t>
      </w:r>
    </w:p>
    <w:p>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江苏吴中医药发展股份有限公司</w:t>
      </w:r>
    </w:p>
    <w:p>
      <w:pPr>
        <w:keepNext w:val="0"/>
        <w:keepLines w:val="0"/>
        <w:pageBreakBefore w:val="0"/>
        <w:widowControl w:val="0"/>
        <w:kinsoku/>
        <w:wordWrap/>
        <w:overflowPunct/>
        <w:topLinePunct w:val="0"/>
        <w:autoSpaceDE/>
        <w:autoSpaceDN/>
        <w:bidi w:val="0"/>
        <w:adjustRightInd/>
        <w:snapToGrid/>
        <w:spacing w:line="360" w:lineRule="auto"/>
        <w:ind w:right="1200" w:firstLine="4320" w:firstLineChars="180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董事会</w:t>
      </w:r>
    </w:p>
    <w:p>
      <w:pPr>
        <w:keepNext w:val="0"/>
        <w:keepLines w:val="0"/>
        <w:pageBreakBefore w:val="0"/>
        <w:widowControl w:val="0"/>
        <w:kinsoku/>
        <w:wordWrap/>
        <w:overflowPunct/>
        <w:topLinePunct w:val="0"/>
        <w:autoSpaceDE/>
        <w:autoSpaceDN/>
        <w:bidi w:val="0"/>
        <w:adjustRightInd/>
        <w:snapToGrid/>
        <w:spacing w:line="360" w:lineRule="auto"/>
        <w:ind w:right="480" w:firstLine="5220" w:firstLineChars="2175"/>
        <w:textAlignment w:val="auto"/>
        <w:rPr>
          <w:sz w:val="24"/>
          <w:szCs w:val="24"/>
        </w:rPr>
      </w:pPr>
      <w:r>
        <w:rPr>
          <w:rFonts w:hint="eastAsia" w:asciiTheme="minorEastAsia" w:hAnsiTheme="minorEastAsia" w:eastAsiaTheme="minorEastAsia" w:cstheme="minorEastAsia"/>
          <w:sz w:val="24"/>
          <w:szCs w:val="24"/>
        </w:rPr>
        <w:t xml:space="preserve">     2024年3月</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wMDkyNTZjMzMwNGNiNWI4YzBkN2FjZjU1MzgyMDgifQ=="/>
  </w:docVars>
  <w:rsids>
    <w:rsidRoot w:val="00822F24"/>
    <w:rsid w:val="00015559"/>
    <w:rsid w:val="0002176B"/>
    <w:rsid w:val="0003171D"/>
    <w:rsid w:val="000377FA"/>
    <w:rsid w:val="00061172"/>
    <w:rsid w:val="00065A39"/>
    <w:rsid w:val="000A0812"/>
    <w:rsid w:val="000A0C1A"/>
    <w:rsid w:val="000B125C"/>
    <w:rsid w:val="000C1EBF"/>
    <w:rsid w:val="000C4E75"/>
    <w:rsid w:val="000D5160"/>
    <w:rsid w:val="000E5928"/>
    <w:rsid w:val="000E6390"/>
    <w:rsid w:val="000F76E7"/>
    <w:rsid w:val="00101E5C"/>
    <w:rsid w:val="00115DE0"/>
    <w:rsid w:val="00125EB5"/>
    <w:rsid w:val="00141A30"/>
    <w:rsid w:val="0014235B"/>
    <w:rsid w:val="001449C0"/>
    <w:rsid w:val="00150411"/>
    <w:rsid w:val="00162AAA"/>
    <w:rsid w:val="00167B35"/>
    <w:rsid w:val="00184711"/>
    <w:rsid w:val="001A39F7"/>
    <w:rsid w:val="001A67E6"/>
    <w:rsid w:val="001A6F91"/>
    <w:rsid w:val="001C47C7"/>
    <w:rsid w:val="001C4C14"/>
    <w:rsid w:val="001E45EA"/>
    <w:rsid w:val="001F698F"/>
    <w:rsid w:val="002442A3"/>
    <w:rsid w:val="0024642E"/>
    <w:rsid w:val="0025523D"/>
    <w:rsid w:val="0025726D"/>
    <w:rsid w:val="0025795B"/>
    <w:rsid w:val="002629E4"/>
    <w:rsid w:val="0027220C"/>
    <w:rsid w:val="002808AB"/>
    <w:rsid w:val="002B5D18"/>
    <w:rsid w:val="002B6F09"/>
    <w:rsid w:val="002B7CCB"/>
    <w:rsid w:val="002C6C83"/>
    <w:rsid w:val="002C71E7"/>
    <w:rsid w:val="002D2369"/>
    <w:rsid w:val="00324EB8"/>
    <w:rsid w:val="00335A49"/>
    <w:rsid w:val="0037322E"/>
    <w:rsid w:val="00374DEE"/>
    <w:rsid w:val="003870CC"/>
    <w:rsid w:val="00393F12"/>
    <w:rsid w:val="003961E4"/>
    <w:rsid w:val="003A0712"/>
    <w:rsid w:val="003B5345"/>
    <w:rsid w:val="003C607D"/>
    <w:rsid w:val="003D11DA"/>
    <w:rsid w:val="003D3FFF"/>
    <w:rsid w:val="003D519D"/>
    <w:rsid w:val="003E355B"/>
    <w:rsid w:val="00420E77"/>
    <w:rsid w:val="0044293B"/>
    <w:rsid w:val="004434F9"/>
    <w:rsid w:val="004502F4"/>
    <w:rsid w:val="0048600D"/>
    <w:rsid w:val="00496E8A"/>
    <w:rsid w:val="004C27B9"/>
    <w:rsid w:val="004D55EE"/>
    <w:rsid w:val="004E363D"/>
    <w:rsid w:val="004F1F15"/>
    <w:rsid w:val="0053544C"/>
    <w:rsid w:val="005712CB"/>
    <w:rsid w:val="00577CBB"/>
    <w:rsid w:val="005B2BE4"/>
    <w:rsid w:val="005B4F18"/>
    <w:rsid w:val="005C3668"/>
    <w:rsid w:val="005D4ACB"/>
    <w:rsid w:val="00615D49"/>
    <w:rsid w:val="006412D7"/>
    <w:rsid w:val="00662769"/>
    <w:rsid w:val="00671263"/>
    <w:rsid w:val="00683AED"/>
    <w:rsid w:val="00695D72"/>
    <w:rsid w:val="006A70F0"/>
    <w:rsid w:val="006B29CA"/>
    <w:rsid w:val="006B2B65"/>
    <w:rsid w:val="006B6429"/>
    <w:rsid w:val="006B6ABC"/>
    <w:rsid w:val="006F2848"/>
    <w:rsid w:val="007001F0"/>
    <w:rsid w:val="007014FC"/>
    <w:rsid w:val="007242FF"/>
    <w:rsid w:val="007276FE"/>
    <w:rsid w:val="00752B45"/>
    <w:rsid w:val="007564B5"/>
    <w:rsid w:val="00756C13"/>
    <w:rsid w:val="007D2FA5"/>
    <w:rsid w:val="007D40FA"/>
    <w:rsid w:val="007E21F2"/>
    <w:rsid w:val="00802A0A"/>
    <w:rsid w:val="0080439D"/>
    <w:rsid w:val="00810186"/>
    <w:rsid w:val="00817019"/>
    <w:rsid w:val="00822F24"/>
    <w:rsid w:val="008478B8"/>
    <w:rsid w:val="00851B7B"/>
    <w:rsid w:val="00854F0E"/>
    <w:rsid w:val="00890241"/>
    <w:rsid w:val="008929AD"/>
    <w:rsid w:val="00893296"/>
    <w:rsid w:val="008935D4"/>
    <w:rsid w:val="008A0AED"/>
    <w:rsid w:val="008B2187"/>
    <w:rsid w:val="008D6C0A"/>
    <w:rsid w:val="008E57CC"/>
    <w:rsid w:val="008E69C2"/>
    <w:rsid w:val="008F6AB5"/>
    <w:rsid w:val="00933FA5"/>
    <w:rsid w:val="00954CB7"/>
    <w:rsid w:val="00955A3F"/>
    <w:rsid w:val="009630E1"/>
    <w:rsid w:val="00982C00"/>
    <w:rsid w:val="009B205C"/>
    <w:rsid w:val="009B55B4"/>
    <w:rsid w:val="009E6EE3"/>
    <w:rsid w:val="009E7470"/>
    <w:rsid w:val="009E7C73"/>
    <w:rsid w:val="009F7A91"/>
    <w:rsid w:val="00A24E3B"/>
    <w:rsid w:val="00A267F9"/>
    <w:rsid w:val="00A36B42"/>
    <w:rsid w:val="00A56241"/>
    <w:rsid w:val="00A7423C"/>
    <w:rsid w:val="00A842DF"/>
    <w:rsid w:val="00AA10D4"/>
    <w:rsid w:val="00AC7ABF"/>
    <w:rsid w:val="00AD1B29"/>
    <w:rsid w:val="00AF4D70"/>
    <w:rsid w:val="00B07E79"/>
    <w:rsid w:val="00B12AF4"/>
    <w:rsid w:val="00B2024D"/>
    <w:rsid w:val="00B31A8D"/>
    <w:rsid w:val="00B3787A"/>
    <w:rsid w:val="00B40E43"/>
    <w:rsid w:val="00B50C75"/>
    <w:rsid w:val="00B8499C"/>
    <w:rsid w:val="00BB5F62"/>
    <w:rsid w:val="00BD77B9"/>
    <w:rsid w:val="00BF68F7"/>
    <w:rsid w:val="00C00973"/>
    <w:rsid w:val="00C01D90"/>
    <w:rsid w:val="00C05E74"/>
    <w:rsid w:val="00C14435"/>
    <w:rsid w:val="00C20A80"/>
    <w:rsid w:val="00C23775"/>
    <w:rsid w:val="00C35D5F"/>
    <w:rsid w:val="00C447F7"/>
    <w:rsid w:val="00C75DF2"/>
    <w:rsid w:val="00CA3D17"/>
    <w:rsid w:val="00CA4136"/>
    <w:rsid w:val="00CC65AD"/>
    <w:rsid w:val="00CD5891"/>
    <w:rsid w:val="00CD6EAB"/>
    <w:rsid w:val="00CF3298"/>
    <w:rsid w:val="00CF42BE"/>
    <w:rsid w:val="00D00882"/>
    <w:rsid w:val="00D04CBB"/>
    <w:rsid w:val="00D11EEC"/>
    <w:rsid w:val="00D21B8D"/>
    <w:rsid w:val="00D26D15"/>
    <w:rsid w:val="00D40982"/>
    <w:rsid w:val="00D45281"/>
    <w:rsid w:val="00D53DC4"/>
    <w:rsid w:val="00D677B4"/>
    <w:rsid w:val="00D716AD"/>
    <w:rsid w:val="00D747F3"/>
    <w:rsid w:val="00D90BC6"/>
    <w:rsid w:val="00DD27C2"/>
    <w:rsid w:val="00DE3DEF"/>
    <w:rsid w:val="00DF046D"/>
    <w:rsid w:val="00E003D0"/>
    <w:rsid w:val="00E025CD"/>
    <w:rsid w:val="00E05034"/>
    <w:rsid w:val="00E06055"/>
    <w:rsid w:val="00E20122"/>
    <w:rsid w:val="00E2014F"/>
    <w:rsid w:val="00E220DE"/>
    <w:rsid w:val="00E3160F"/>
    <w:rsid w:val="00E74755"/>
    <w:rsid w:val="00E9529E"/>
    <w:rsid w:val="00E962FF"/>
    <w:rsid w:val="00E96761"/>
    <w:rsid w:val="00EA6444"/>
    <w:rsid w:val="00EB5595"/>
    <w:rsid w:val="00EB7FBA"/>
    <w:rsid w:val="00ED1504"/>
    <w:rsid w:val="00EE7554"/>
    <w:rsid w:val="00F03FA2"/>
    <w:rsid w:val="00F160FF"/>
    <w:rsid w:val="00F21312"/>
    <w:rsid w:val="00F36CA2"/>
    <w:rsid w:val="00F3721A"/>
    <w:rsid w:val="00F37C96"/>
    <w:rsid w:val="00F56C28"/>
    <w:rsid w:val="00F75998"/>
    <w:rsid w:val="00F9207E"/>
    <w:rsid w:val="00FA5496"/>
    <w:rsid w:val="00FA62E1"/>
    <w:rsid w:val="00FE5ACA"/>
    <w:rsid w:val="0EB30F4B"/>
    <w:rsid w:val="16693AD4"/>
    <w:rsid w:val="19826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眉 字符"/>
    <w:basedOn w:val="6"/>
    <w:link w:val="3"/>
    <w:autoRedefine/>
    <w:qFormat/>
    <w:uiPriority w:val="99"/>
    <w:rPr>
      <w:sz w:val="18"/>
      <w:szCs w:val="18"/>
    </w:rPr>
  </w:style>
  <w:style w:type="character" w:customStyle="1" w:styleId="8">
    <w:name w:val="页脚 字符"/>
    <w:basedOn w:val="6"/>
    <w:link w:val="2"/>
    <w:autoRedefine/>
    <w:qFormat/>
    <w:uiPriority w:val="99"/>
    <w:rPr>
      <w:sz w:val="18"/>
      <w:szCs w:val="18"/>
    </w:rPr>
  </w:style>
  <w:style w:type="paragraph" w:customStyle="1" w:styleId="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211</Words>
  <Characters>1205</Characters>
  <Lines>10</Lines>
  <Paragraphs>2</Paragraphs>
  <TotalTime>12</TotalTime>
  <ScaleCrop>false</ScaleCrop>
  <LinksUpToDate>false</LinksUpToDate>
  <CharactersWithSpaces>1414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2024-02-01T03:32:00Z</dcterms:created>
  <dc:creator>李锐</dc:creator>
  <cp:lastModifiedBy>王雅杰</cp:lastModifiedBy>
  <cp:lastPrinted>2024-03-01T07:17:50Z</cp:lastPrinted>
  <dcterms:modified xsi:type="dcterms:W3CDTF">2024-03-01T07:27:38Z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89677DCA3B77499CA626CEE907EB2349_12</vt:lpwstr>
  </property>
</Properties>
</file>