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黑体" w:hAnsi="宋体" w:eastAsia="宋体"/>
          <w:b/>
          <w:bCs/>
          <w:color w:val="FF0000"/>
          <w:sz w:val="32"/>
          <w:highlight w:val="none"/>
          <w:lang w:val="en-US" w:eastAsia="zh-CN"/>
        </w:rPr>
      </w:pPr>
      <w:r>
        <w:rPr>
          <w:rFonts w:hint="eastAsia" w:ascii="宋体" w:hAnsi="宋体" w:cs="宋体"/>
          <w:color w:val="000000"/>
          <w:kern w:val="0"/>
          <w:sz w:val="24"/>
        </w:rPr>
        <w:t xml:space="preserve">证券代码：600200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证券简称：江苏吴中</w:t>
      </w:r>
      <w:r>
        <w:rPr>
          <w:rFonts w:hint="eastAsia" w:ascii="宋体" w:hAnsi="宋体" w:cs="宋体"/>
          <w:color w:val="000000"/>
          <w:kern w:val="0"/>
          <w:sz w:val="24"/>
          <w:highlight w:val="none"/>
        </w:rPr>
        <w:t xml:space="preserve">      公告编号：临202</w:t>
      </w:r>
      <w:r>
        <w:rPr>
          <w:rFonts w:hint="eastAsia" w:ascii="宋体" w:hAnsi="宋体" w:cs="宋体"/>
          <w:color w:val="000000"/>
          <w:kern w:val="0"/>
          <w:sz w:val="24"/>
          <w:highlight w:val="none"/>
          <w:lang w:val="en-US" w:eastAsia="zh-CN"/>
        </w:rPr>
        <w:t>4</w:t>
      </w:r>
      <w:r>
        <w:rPr>
          <w:rFonts w:hint="eastAsia" w:ascii="宋体" w:hAnsi="宋体" w:cs="宋体"/>
          <w:color w:val="000000"/>
          <w:kern w:val="0"/>
          <w:sz w:val="24"/>
          <w:highlight w:val="none"/>
        </w:rPr>
        <w:t>-</w:t>
      </w:r>
      <w:r>
        <w:rPr>
          <w:rFonts w:hint="eastAsia" w:ascii="宋体" w:hAnsi="宋体" w:cs="宋体"/>
          <w:color w:val="000000"/>
          <w:kern w:val="0"/>
          <w:sz w:val="24"/>
          <w:highlight w:val="none"/>
          <w:lang w:val="en-US" w:eastAsia="zh-CN"/>
        </w:rPr>
        <w:t>013</w:t>
      </w:r>
    </w:p>
    <w:p>
      <w:pPr>
        <w:spacing w:line="360" w:lineRule="auto"/>
        <w:ind w:right="-153" w:rightChars="-73"/>
        <w:jc w:val="center"/>
        <w:rPr>
          <w:rFonts w:hint="eastAsia" w:ascii="黑体" w:hAnsi="宋体" w:eastAsia="黑体"/>
          <w:b/>
          <w:bCs/>
          <w:color w:val="FF0000"/>
          <w:sz w:val="32"/>
        </w:rPr>
      </w:pP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ind w:right="-153" w:rightChars="-73"/>
        <w:jc w:val="center"/>
        <w:rPr>
          <w:rFonts w:hint="eastAsia" w:ascii="黑体" w:hAnsi="宋体" w:eastAsia="黑体"/>
          <w:b/>
          <w:bCs/>
          <w:color w:val="FF0000"/>
          <w:sz w:val="32"/>
        </w:rPr>
      </w:pPr>
      <w:r>
        <w:rPr>
          <w:rFonts w:hint="eastAsia" w:ascii="黑体" w:hAnsi="宋体" w:eastAsia="黑体"/>
          <w:b/>
          <w:bCs/>
          <w:color w:val="FF0000"/>
          <w:sz w:val="32"/>
        </w:rPr>
        <w:t>关于控股股东部分股份质押的公告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highlight w:val="none"/>
        </w:rPr>
      </w:pPr>
      <w:r>
        <w:rPr>
          <w:rFonts w:hint="eastAsia" w:ascii="ˎ̥" w:hAnsi="ˎ̥"/>
          <w:b/>
          <w:sz w:val="24"/>
          <w:highlight w:val="none"/>
        </w:rPr>
        <w:t>本公司董事会及董事会全体成员保证公告内容不存在虚假记载、误导性陈述或者重大遗漏，并对其内容的真实、准确和完整承担法律责任。</w:t>
      </w:r>
    </w:p>
    <w:p>
      <w:pPr>
        <w:spacing w:line="420" w:lineRule="exact"/>
        <w:rPr>
          <w:rFonts w:ascii="宋体" w:cs="宋体"/>
          <w:color w:val="000000"/>
          <w:kern w:val="0"/>
          <w:sz w:val="24"/>
          <w:highlight w:val="none"/>
        </w:rPr>
      </w:pPr>
    </w:p>
    <w:p>
      <w:pPr>
        <w:autoSpaceDE w:val="0"/>
        <w:autoSpaceDN w:val="0"/>
        <w:adjustRightInd w:val="0"/>
        <w:spacing w:line="360" w:lineRule="auto"/>
        <w:ind w:firstLine="482" w:firstLineChars="200"/>
        <w:rPr>
          <w:rFonts w:ascii="宋体" w:hAnsi="宋体"/>
          <w:b/>
          <w:sz w:val="24"/>
          <w:highlight w:val="none"/>
        </w:rPr>
      </w:pPr>
      <w:r>
        <w:rPr>
          <w:rFonts w:hint="eastAsia" w:ascii="宋体" w:hAnsi="宋体"/>
          <w:b/>
          <w:sz w:val="24"/>
          <w:highlight w:val="none"/>
        </w:rPr>
        <w:t>重要内容提示：</w:t>
      </w:r>
    </w:p>
    <w:p>
      <w:pPr>
        <w:numPr>
          <w:ilvl w:val="0"/>
          <w:numId w:val="1"/>
        </w:numPr>
        <w:adjustRightInd w:val="0"/>
        <w:snapToGrid w:val="0"/>
        <w:spacing w:line="360" w:lineRule="auto"/>
        <w:rPr>
          <w:rFonts w:ascii="宋体" w:hAnsi="宋体"/>
          <w:sz w:val="24"/>
          <w:highlight w:val="none"/>
        </w:rPr>
      </w:pPr>
      <w:r>
        <w:rPr>
          <w:rFonts w:hint="eastAsia" w:ascii="宋体" w:hAnsi="宋体"/>
          <w:sz w:val="24"/>
          <w:highlight w:val="none"/>
        </w:rPr>
        <w:t>截至本公告披露日，江苏吴中医药发展股份有限公司（以下简称“公司”）控股股东苏州吴中投资控股有限公司（以下简称“控股股东”）持有公司122,795,762股股份（均为无限售流通股），占公司总股本的17.24%。</w:t>
      </w:r>
    </w:p>
    <w:p>
      <w:pPr>
        <w:numPr>
          <w:ilvl w:val="0"/>
          <w:numId w:val="1"/>
        </w:numPr>
        <w:adjustRightInd w:val="0"/>
        <w:snapToGrid w:val="0"/>
        <w:spacing w:line="360" w:lineRule="auto"/>
        <w:rPr>
          <w:rFonts w:ascii="宋体" w:hAnsi="宋体"/>
          <w:sz w:val="24"/>
          <w:highlight w:val="none"/>
        </w:rPr>
      </w:pPr>
      <w:r>
        <w:rPr>
          <w:rFonts w:hint="eastAsia" w:ascii="宋体" w:hAnsi="宋体"/>
          <w:sz w:val="24"/>
          <w:highlight w:val="none"/>
        </w:rPr>
        <w:t>本次部分股份质押后，控股股东累计质押股份数量</w:t>
      </w:r>
      <w:r>
        <w:rPr>
          <w:rFonts w:hint="eastAsia" w:ascii="宋体" w:hAnsi="宋体"/>
          <w:sz w:val="24"/>
          <w:highlight w:val="none"/>
          <w:lang w:val="en-US" w:eastAsia="zh-CN"/>
        </w:rPr>
        <w:t>84,320,000</w:t>
      </w:r>
      <w:r>
        <w:rPr>
          <w:rFonts w:hint="eastAsia" w:ascii="宋体" w:hAnsi="宋体"/>
          <w:sz w:val="24"/>
          <w:highlight w:val="none"/>
        </w:rPr>
        <w:t>股，占其持有公司股份总数的</w:t>
      </w:r>
      <w:r>
        <w:rPr>
          <w:rFonts w:hint="eastAsia" w:ascii="宋体" w:hAnsi="宋体"/>
          <w:sz w:val="24"/>
          <w:highlight w:val="none"/>
          <w:lang w:val="en-US" w:eastAsia="zh-CN"/>
        </w:rPr>
        <w:t>68.67</w:t>
      </w:r>
      <w:r>
        <w:rPr>
          <w:rFonts w:hint="eastAsia" w:ascii="宋体" w:hAnsi="宋体"/>
          <w:sz w:val="24"/>
          <w:highlight w:val="none"/>
        </w:rPr>
        <w:t>%，占公司总股本的</w:t>
      </w:r>
      <w:r>
        <w:rPr>
          <w:rFonts w:hint="eastAsia" w:ascii="宋体" w:hAnsi="宋体"/>
          <w:sz w:val="24"/>
          <w:highlight w:val="none"/>
          <w:lang w:val="en-US" w:eastAsia="zh-CN"/>
        </w:rPr>
        <w:t>11.84</w:t>
      </w:r>
      <w:r>
        <w:rPr>
          <w:rFonts w:hint="eastAsia" w:ascii="宋体" w:hAnsi="宋体"/>
          <w:sz w:val="24"/>
          <w:highlight w:val="none"/>
        </w:rPr>
        <w:t>%。</w:t>
      </w:r>
    </w:p>
    <w:p>
      <w:pPr>
        <w:spacing w:line="420" w:lineRule="exact"/>
        <w:rPr>
          <w:rFonts w:ascii="宋体" w:cs="宋体"/>
          <w:kern w:val="0"/>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none"/>
        </w:rPr>
        <w:t>公司于202</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年</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月</w:t>
      </w:r>
      <w:r>
        <w:rPr>
          <w:rFonts w:hint="eastAsia" w:asciiTheme="minorEastAsia" w:hAnsiTheme="minorEastAsia" w:eastAsiaTheme="minorEastAsia" w:cstheme="minorEastAsia"/>
          <w:sz w:val="24"/>
          <w:szCs w:val="24"/>
          <w:highlight w:val="none"/>
          <w:lang w:val="en-US" w:eastAsia="zh-CN"/>
        </w:rPr>
        <w:t>22</w:t>
      </w:r>
      <w:r>
        <w:rPr>
          <w:rFonts w:hint="eastAsia" w:asciiTheme="minorEastAsia" w:hAnsiTheme="minorEastAsia" w:eastAsiaTheme="minorEastAsia" w:cstheme="minorEastAsia"/>
          <w:sz w:val="24"/>
          <w:szCs w:val="24"/>
          <w:highlight w:val="none"/>
        </w:rPr>
        <w:t>日收到控股股东苏州吴中投资控股有限公司关于部分股份质押的通知，具体情况如下</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一、股份质押基本情况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1、本次股份质押基本情况</w:t>
      </w:r>
    </w:p>
    <w:tbl>
      <w:tblPr>
        <w:tblStyle w:val="5"/>
        <w:tblW w:w="10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900"/>
        <w:gridCol w:w="1350"/>
        <w:gridCol w:w="660"/>
        <w:gridCol w:w="690"/>
        <w:gridCol w:w="1050"/>
        <w:gridCol w:w="1020"/>
        <w:gridCol w:w="1304"/>
        <w:gridCol w:w="870"/>
        <w:gridCol w:w="75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股东</w:t>
            </w:r>
          </w:p>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名称</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是否为</w:t>
            </w:r>
          </w:p>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控股股东</w:t>
            </w:r>
          </w:p>
        </w:tc>
        <w:tc>
          <w:tcPr>
            <w:tcW w:w="13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本次质押股数(股)</w:t>
            </w:r>
          </w:p>
        </w:tc>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是否为限售股</w:t>
            </w:r>
          </w:p>
        </w:tc>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是否补充质押</w:t>
            </w: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质押</w:t>
            </w:r>
          </w:p>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起始日</w:t>
            </w:r>
          </w:p>
        </w:tc>
        <w:tc>
          <w:tcPr>
            <w:tcW w:w="102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质押</w:t>
            </w:r>
          </w:p>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到期日</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质权人</w:t>
            </w:r>
          </w:p>
        </w:tc>
        <w:tc>
          <w:tcPr>
            <w:tcW w:w="87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占其所持股份比例</w:t>
            </w:r>
          </w:p>
        </w:tc>
        <w:tc>
          <w:tcPr>
            <w:tcW w:w="75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占公司总股本比例</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质押融资资金用途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0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苏州吴中投资控股有限公司</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是</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35</w:t>
            </w:r>
            <w:r>
              <w:rPr>
                <w:rFonts w:hint="eastAsia" w:asciiTheme="minorEastAsia" w:hAnsiTheme="minorEastAsia" w:eastAsiaTheme="minorEastAsia"/>
                <w:szCs w:val="21"/>
                <w:highlight w:val="none"/>
              </w:rPr>
              <w:t>0,000</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否</w:t>
            </w:r>
          </w:p>
        </w:tc>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否</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202</w:t>
            </w:r>
            <w:r>
              <w:rPr>
                <w:rFonts w:hint="eastAsia" w:asciiTheme="minorEastAsia" w:hAnsiTheme="minorEastAsia" w:eastAsiaTheme="minorEastAsia"/>
                <w:szCs w:val="21"/>
                <w:highlight w:val="none"/>
                <w:lang w:val="en-US" w:eastAsia="zh-CN"/>
              </w:rPr>
              <w:t>4</w:t>
            </w:r>
            <w:r>
              <w:rPr>
                <w:rFonts w:hint="eastAsia" w:asciiTheme="minorEastAsia" w:hAnsiTheme="minorEastAsia" w:eastAsiaTheme="minorEastAsia"/>
                <w:szCs w:val="21"/>
                <w:highlight w:val="none"/>
              </w:rPr>
              <w:t>年</w:t>
            </w: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月</w:t>
            </w:r>
            <w:r>
              <w:rPr>
                <w:rFonts w:hint="eastAsia" w:asciiTheme="minorEastAsia" w:hAnsiTheme="minorEastAsia" w:eastAsiaTheme="minorEastAsia"/>
                <w:szCs w:val="21"/>
                <w:highlight w:val="none"/>
                <w:lang w:val="en-US" w:eastAsia="zh-CN"/>
              </w:rPr>
              <w:t>21</w:t>
            </w:r>
            <w:r>
              <w:rPr>
                <w:rFonts w:hint="eastAsia" w:asciiTheme="minorEastAsia" w:hAnsiTheme="minorEastAsia" w:eastAsiaTheme="minorEastAsia"/>
                <w:szCs w:val="21"/>
                <w:highlight w:val="none"/>
              </w:rPr>
              <w:t>日</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202</w:t>
            </w:r>
            <w:r>
              <w:rPr>
                <w:rFonts w:hint="eastAsia" w:asciiTheme="minorEastAsia" w:hAnsiTheme="minorEastAsia" w:eastAsiaTheme="minorEastAsia"/>
                <w:szCs w:val="21"/>
                <w:highlight w:val="none"/>
                <w:lang w:val="en-US" w:eastAsia="zh-CN"/>
              </w:rPr>
              <w:t>7</w:t>
            </w:r>
            <w:r>
              <w:rPr>
                <w:rFonts w:hint="eastAsia" w:asciiTheme="minorEastAsia" w:hAnsiTheme="minorEastAsia" w:eastAsiaTheme="minorEastAsia"/>
                <w:szCs w:val="21"/>
                <w:highlight w:val="none"/>
              </w:rPr>
              <w:t>年</w:t>
            </w: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月</w:t>
            </w:r>
            <w:r>
              <w:rPr>
                <w:rFonts w:hint="eastAsia" w:asciiTheme="minorEastAsia" w:hAnsiTheme="minorEastAsia" w:eastAsiaTheme="minorEastAsia"/>
                <w:szCs w:val="21"/>
                <w:highlight w:val="none"/>
                <w:lang w:val="en-US" w:eastAsia="zh-CN"/>
              </w:rPr>
              <w:t>20</w:t>
            </w:r>
            <w:r>
              <w:rPr>
                <w:rFonts w:hint="eastAsia" w:asciiTheme="minorEastAsia" w:hAnsiTheme="minorEastAsia" w:eastAsiaTheme="minorEastAsia"/>
                <w:szCs w:val="21"/>
                <w:highlight w:val="none"/>
              </w:rPr>
              <w:t>日</w:t>
            </w:r>
          </w:p>
        </w:tc>
        <w:tc>
          <w:tcPr>
            <w:tcW w:w="1304" w:type="dxa"/>
            <w:tcBorders>
              <w:top w:val="single" w:color="auto" w:sz="4" w:space="0"/>
              <w:left w:val="single" w:color="auto" w:sz="4" w:space="0"/>
              <w:right w:val="single" w:color="auto" w:sz="4" w:space="0"/>
            </w:tcBorders>
            <w:shd w:val="clear" w:color="auto" w:fill="auto"/>
            <w:vAlign w:val="center"/>
          </w:tcPr>
          <w:p>
            <w:pPr>
              <w:jc w:val="center"/>
              <w:rPr>
                <w:rFonts w:hint="default" w:asciiTheme="minorEastAsia" w:hAnsiTheme="minorEastAsia" w:eastAsiaTheme="minorEastAsia"/>
                <w:szCs w:val="21"/>
                <w:highlight w:val="none"/>
                <w:lang w:val="en-US"/>
              </w:rPr>
            </w:pPr>
            <w:r>
              <w:rPr>
                <w:rFonts w:hint="eastAsia" w:asciiTheme="minorEastAsia" w:hAnsiTheme="minorEastAsia" w:eastAsiaTheme="minorEastAsia"/>
                <w:szCs w:val="21"/>
                <w:highlight w:val="none"/>
                <w:lang w:val="en-US" w:eastAsia="zh-CN"/>
              </w:rPr>
              <w:t>温州银行股份有限公司杭州临平支行</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1.91</w:t>
            </w:r>
            <w:r>
              <w:rPr>
                <w:rFonts w:hint="eastAsia" w:asciiTheme="minorEastAsia" w:hAnsiTheme="minorEastAsia" w:eastAsiaTheme="minorEastAsia"/>
                <w:szCs w:val="21"/>
                <w:highlight w:val="none"/>
              </w:rPr>
              <w:t>%</w:t>
            </w: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33</w:t>
            </w:r>
            <w:r>
              <w:rPr>
                <w:rFonts w:hint="eastAsia" w:asciiTheme="minorEastAsia" w:hAnsiTheme="minorEastAsia" w:eastAsiaTheme="minorEastAsia"/>
                <w:szCs w:val="21"/>
                <w:highlight w:val="none"/>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自身生产经营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0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合计</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35</w:t>
            </w:r>
            <w:r>
              <w:rPr>
                <w:rFonts w:hint="eastAsia" w:asciiTheme="minorEastAsia" w:hAnsiTheme="minorEastAsia" w:eastAsiaTheme="minorEastAsia"/>
                <w:szCs w:val="21"/>
                <w:highlight w:val="none"/>
              </w:rPr>
              <w:t>0,000</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1304" w:type="dxa"/>
            <w:tcBorders>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1.91</w:t>
            </w:r>
            <w:r>
              <w:rPr>
                <w:rFonts w:hint="eastAsia" w:asciiTheme="minorEastAsia" w:hAnsiTheme="minorEastAsia" w:eastAsiaTheme="minorEastAsia"/>
                <w:szCs w:val="21"/>
                <w:highlight w:val="none"/>
              </w:rPr>
              <w:t>%</w:t>
            </w: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33</w:t>
            </w:r>
            <w:r>
              <w:rPr>
                <w:rFonts w:hint="eastAsia" w:asciiTheme="minorEastAsia" w:hAnsiTheme="minorEastAsia" w:eastAsiaTheme="minorEastAsia"/>
                <w:szCs w:val="21"/>
                <w:highlight w:val="none"/>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w:t>
            </w:r>
          </w:p>
        </w:tc>
      </w:tr>
    </w:tbl>
    <w:p>
      <w:pPr>
        <w:spacing w:line="42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2、本次质押股份不存在被用作重大资产重组业绩补偿等事项的担保或其他保障用途等情况。</w:t>
      </w:r>
    </w:p>
    <w:p>
      <w:pPr>
        <w:spacing w:line="42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3、股东累计质押股份情况</w:t>
      </w:r>
      <w:bookmarkStart w:id="0" w:name="_GoBack"/>
      <w:bookmarkEnd w:id="0"/>
    </w:p>
    <w:p>
      <w:pPr>
        <w:adjustRightInd w:val="0"/>
        <w:snapToGrid w:val="0"/>
        <w:spacing w:line="56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截至公告披露日，控股股东累计质押股份情况如下：</w:t>
      </w:r>
    </w:p>
    <w:tbl>
      <w:tblPr>
        <w:tblStyle w:val="5"/>
        <w:tblW w:w="65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395"/>
        <w:gridCol w:w="854"/>
        <w:gridCol w:w="1277"/>
        <w:gridCol w:w="1306"/>
        <w:gridCol w:w="901"/>
        <w:gridCol w:w="869"/>
        <w:gridCol w:w="910"/>
        <w:gridCol w:w="905"/>
        <w:gridCol w:w="848"/>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428"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股东</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rPr>
              <w:t>名称</w:t>
            </w:r>
          </w:p>
        </w:tc>
        <w:tc>
          <w:tcPr>
            <w:tcW w:w="623"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持股数量(股)</w:t>
            </w:r>
          </w:p>
        </w:tc>
        <w:tc>
          <w:tcPr>
            <w:tcW w:w="381"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持股</w:t>
            </w:r>
            <w:r>
              <w:rPr>
                <w:rFonts w:hint="eastAsia" w:asciiTheme="minorEastAsia" w:hAnsiTheme="minorEastAsia" w:eastAsiaTheme="minorEastAsia"/>
                <w:szCs w:val="21"/>
                <w:highlight w:val="none"/>
              </w:rPr>
              <w:br w:type="textWrapping"/>
            </w:r>
            <w:r>
              <w:rPr>
                <w:rFonts w:hint="eastAsia" w:asciiTheme="minorEastAsia" w:hAnsiTheme="minorEastAsia" w:eastAsiaTheme="minorEastAsia"/>
                <w:szCs w:val="21"/>
                <w:highlight w:val="none"/>
              </w:rPr>
              <w:t>比例</w:t>
            </w:r>
          </w:p>
        </w:tc>
        <w:tc>
          <w:tcPr>
            <w:tcW w:w="570"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本次质押前累计质押数量(股)</w:t>
            </w:r>
          </w:p>
        </w:tc>
        <w:tc>
          <w:tcPr>
            <w:tcW w:w="583"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本次质押后累计质押数量(股)</w:t>
            </w:r>
          </w:p>
        </w:tc>
        <w:tc>
          <w:tcPr>
            <w:tcW w:w="402"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占其所持股份比例</w:t>
            </w:r>
          </w:p>
        </w:tc>
        <w:tc>
          <w:tcPr>
            <w:tcW w:w="388" w:type="pct"/>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占公司总股本比例</w:t>
            </w:r>
          </w:p>
        </w:tc>
        <w:tc>
          <w:tcPr>
            <w:tcW w:w="810"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已质押股份情况</w:t>
            </w:r>
          </w:p>
        </w:tc>
        <w:tc>
          <w:tcPr>
            <w:tcW w:w="810" w:type="pct"/>
            <w:gridSpan w:val="2"/>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未质押股份情况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428"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623"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381"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570" w:type="pct"/>
            <w:vMerge w:val="continue"/>
            <w:tcBorders>
              <w:left w:val="single" w:color="auto" w:sz="4" w:space="0"/>
              <w:bottom w:val="single" w:color="auto" w:sz="4" w:space="0"/>
              <w:right w:val="single" w:color="auto" w:sz="4" w:space="0"/>
            </w:tcBorders>
          </w:tcPr>
          <w:p>
            <w:pPr>
              <w:jc w:val="center"/>
              <w:rPr>
                <w:rFonts w:asciiTheme="minorEastAsia" w:hAnsiTheme="minorEastAsia" w:eastAsiaTheme="minorEastAsia"/>
                <w:szCs w:val="21"/>
                <w:highlight w:val="none"/>
              </w:rPr>
            </w:pPr>
          </w:p>
        </w:tc>
        <w:tc>
          <w:tcPr>
            <w:tcW w:w="583"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402"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388" w:type="pct"/>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p>
        </w:tc>
        <w:tc>
          <w:tcPr>
            <w:tcW w:w="406"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已质押股份中限售股份数量</w:t>
            </w:r>
          </w:p>
        </w:tc>
        <w:tc>
          <w:tcPr>
            <w:tcW w:w="404" w:type="pct"/>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已质押股份中冻结股份数量</w:t>
            </w:r>
          </w:p>
        </w:tc>
        <w:tc>
          <w:tcPr>
            <w:tcW w:w="378" w:type="pct"/>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未质押股份中限售股份数量</w:t>
            </w:r>
          </w:p>
        </w:tc>
        <w:tc>
          <w:tcPr>
            <w:tcW w:w="432" w:type="pct"/>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未质押股份中冻结股份数量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42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苏州吴中投资控股有限公司</w:t>
            </w:r>
          </w:p>
        </w:tc>
        <w:tc>
          <w:tcPr>
            <w:tcW w:w="623"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122,795,762</w:t>
            </w:r>
          </w:p>
        </w:tc>
        <w:tc>
          <w:tcPr>
            <w:tcW w:w="381"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17.24%</w:t>
            </w:r>
          </w:p>
        </w:tc>
        <w:tc>
          <w:tcPr>
            <w:tcW w:w="570"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81</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97</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583"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84</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32</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402"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68</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67</w:t>
            </w:r>
            <w:r>
              <w:rPr>
                <w:rFonts w:hint="eastAsia" w:asciiTheme="minorEastAsia" w:hAnsiTheme="minorEastAsia" w:eastAsiaTheme="minorEastAsia"/>
                <w:szCs w:val="21"/>
                <w:highlight w:val="none"/>
              </w:rPr>
              <w:t>%</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11.84</w:t>
            </w:r>
            <w:r>
              <w:rPr>
                <w:rFonts w:hint="eastAsia" w:asciiTheme="minorEastAsia" w:hAnsiTheme="minorEastAsia" w:eastAsiaTheme="minorEastAsia"/>
                <w:szCs w:val="21"/>
                <w:highlight w:val="none"/>
              </w:rPr>
              <w:t>%</w:t>
            </w:r>
          </w:p>
        </w:tc>
        <w:tc>
          <w:tcPr>
            <w:tcW w:w="406"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c>
          <w:tcPr>
            <w:tcW w:w="378"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c>
          <w:tcPr>
            <w:tcW w:w="432"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42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合计</w:t>
            </w:r>
          </w:p>
        </w:tc>
        <w:tc>
          <w:tcPr>
            <w:tcW w:w="623"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122,795,762</w:t>
            </w:r>
          </w:p>
        </w:tc>
        <w:tc>
          <w:tcPr>
            <w:tcW w:w="381"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17.24%</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81</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97</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84</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32</w:t>
            </w:r>
            <w:r>
              <w:rPr>
                <w:rFonts w:hint="eastAsia" w:asciiTheme="minorEastAsia" w:hAnsiTheme="minorEastAsia" w:eastAsiaTheme="minorEastAsia"/>
                <w:szCs w:val="21"/>
                <w:highlight w:val="none"/>
              </w:rPr>
              <w:t>0,</w:t>
            </w:r>
            <w:r>
              <w:rPr>
                <w:rFonts w:hint="eastAsia" w:asciiTheme="minorEastAsia" w:hAnsiTheme="minorEastAsia" w:eastAsiaTheme="minorEastAsia"/>
                <w:szCs w:val="21"/>
                <w:highlight w:val="none"/>
                <w:lang w:val="en-US" w:eastAsia="zh-CN"/>
              </w:rPr>
              <w:t>0</w:t>
            </w:r>
            <w:r>
              <w:rPr>
                <w:rFonts w:hint="eastAsia" w:asciiTheme="minorEastAsia" w:hAnsiTheme="minorEastAsia" w:eastAsiaTheme="minorEastAsia"/>
                <w:szCs w:val="21"/>
                <w:highlight w:val="none"/>
              </w:rPr>
              <w:t>00</w:t>
            </w:r>
          </w:p>
        </w:tc>
        <w:tc>
          <w:tcPr>
            <w:tcW w:w="90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68</w:t>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en-US" w:eastAsia="zh-CN"/>
              </w:rPr>
              <w:t>67</w:t>
            </w:r>
            <w:r>
              <w:rPr>
                <w:rFonts w:hint="eastAsia" w:asciiTheme="minorEastAsia" w:hAnsiTheme="minorEastAsia" w:eastAsiaTheme="minorEastAsia"/>
                <w:szCs w:val="21"/>
                <w:highlight w:val="none"/>
              </w:rPr>
              <w:t>%</w:t>
            </w:r>
          </w:p>
        </w:tc>
        <w:tc>
          <w:tcPr>
            <w:tcW w:w="86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lang w:val="en-US" w:eastAsia="zh-CN"/>
              </w:rPr>
              <w:t>11.84</w:t>
            </w:r>
            <w:r>
              <w:rPr>
                <w:rFonts w:hint="eastAsia" w:asciiTheme="minorEastAsia" w:hAnsiTheme="minorEastAsia" w:eastAsiaTheme="minorEastAsia"/>
                <w:szCs w:val="21"/>
                <w:highlight w:val="none"/>
              </w:rPr>
              <w:t>%</w:t>
            </w:r>
          </w:p>
        </w:tc>
        <w:tc>
          <w:tcPr>
            <w:tcW w:w="406"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c>
          <w:tcPr>
            <w:tcW w:w="378"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c>
          <w:tcPr>
            <w:tcW w:w="432" w:type="pc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0</w:t>
            </w:r>
          </w:p>
        </w:tc>
      </w:tr>
    </w:tbl>
    <w:p>
      <w:pPr>
        <w:spacing w:line="420" w:lineRule="exact"/>
        <w:ind w:firstLine="480" w:firstLineChars="200"/>
        <w:rPr>
          <w:rFonts w:asciiTheme="minorEastAsia" w:hAnsiTheme="minorEastAsia" w:eastAsiaTheme="minorEastAsia"/>
          <w:sz w:val="24"/>
          <w:highlight w:val="none"/>
        </w:rPr>
      </w:pPr>
    </w:p>
    <w:p>
      <w:pPr>
        <w:spacing w:line="360" w:lineRule="auto"/>
        <w:ind w:firstLine="482" w:firstLineChars="200"/>
        <w:rPr>
          <w:rFonts w:hint="default" w:asciiTheme="minorEastAsia" w:hAnsiTheme="minorEastAsia" w:eastAsiaTheme="minorEastAsia"/>
          <w:b/>
          <w:sz w:val="24"/>
          <w:highlight w:val="none"/>
          <w:lang w:val="en-US" w:eastAsia="zh-CN"/>
        </w:rPr>
      </w:pPr>
      <w:r>
        <w:rPr>
          <w:rFonts w:hint="eastAsia" w:asciiTheme="minorEastAsia" w:hAnsiTheme="minorEastAsia" w:eastAsiaTheme="minorEastAsia"/>
          <w:b/>
          <w:sz w:val="24"/>
          <w:highlight w:val="none"/>
        </w:rPr>
        <w:t>二、控股股东股份质押情况</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1、控股股东未来半年内到期的质押股份数量为</w:t>
      </w:r>
      <w:r>
        <w:rPr>
          <w:rFonts w:hint="eastAsia" w:asciiTheme="minorEastAsia" w:hAnsiTheme="minorEastAsia" w:eastAsiaTheme="minorEastAsia"/>
          <w:sz w:val="24"/>
          <w:highlight w:val="none"/>
          <w:lang w:val="en-US" w:eastAsia="zh-CN"/>
        </w:rPr>
        <w:t>9,600,000</w:t>
      </w:r>
      <w:r>
        <w:rPr>
          <w:rFonts w:hint="eastAsia" w:asciiTheme="minorEastAsia" w:hAnsiTheme="minorEastAsia" w:eastAsiaTheme="minorEastAsia"/>
          <w:sz w:val="24"/>
          <w:highlight w:val="none"/>
        </w:rPr>
        <w:t>股，占其所持股份比例</w:t>
      </w:r>
      <w:r>
        <w:rPr>
          <w:rFonts w:hint="eastAsia" w:asciiTheme="minorEastAsia" w:hAnsiTheme="minorEastAsia" w:eastAsiaTheme="minorEastAsia"/>
          <w:sz w:val="24"/>
          <w:highlight w:val="none"/>
          <w:lang w:val="en-US" w:eastAsia="zh-CN"/>
        </w:rPr>
        <w:t>7.82</w:t>
      </w:r>
      <w:r>
        <w:rPr>
          <w:rFonts w:hint="eastAsia" w:asciiTheme="minorEastAsia" w:hAnsiTheme="minorEastAsia" w:eastAsiaTheme="minorEastAsia"/>
          <w:sz w:val="24"/>
          <w:highlight w:val="none"/>
        </w:rPr>
        <w:t>%，占公司总股本比例为</w:t>
      </w:r>
      <w:r>
        <w:rPr>
          <w:rFonts w:hint="eastAsia" w:asciiTheme="minorEastAsia" w:hAnsiTheme="minorEastAsia" w:eastAsiaTheme="minorEastAsia"/>
          <w:sz w:val="24"/>
          <w:highlight w:val="none"/>
          <w:lang w:val="en-US" w:eastAsia="zh-CN"/>
        </w:rPr>
        <w:t>1.35</w:t>
      </w:r>
      <w:r>
        <w:rPr>
          <w:rFonts w:hint="eastAsia" w:asciiTheme="minorEastAsia" w:hAnsiTheme="minorEastAsia" w:eastAsiaTheme="minorEastAsia"/>
          <w:sz w:val="24"/>
          <w:highlight w:val="none"/>
        </w:rPr>
        <w:t>%，对应融资余额为</w:t>
      </w:r>
      <w:r>
        <w:rPr>
          <w:rFonts w:hint="eastAsia" w:asciiTheme="minorEastAsia" w:hAnsiTheme="minorEastAsia" w:eastAsiaTheme="minorEastAsia"/>
          <w:sz w:val="24"/>
          <w:highlight w:val="none"/>
          <w:lang w:val="en-US" w:eastAsia="zh-CN"/>
        </w:rPr>
        <w:t>4,000</w:t>
      </w:r>
      <w:r>
        <w:rPr>
          <w:rFonts w:hint="eastAsia" w:asciiTheme="minorEastAsia" w:hAnsiTheme="minorEastAsia" w:eastAsiaTheme="minorEastAsia"/>
          <w:sz w:val="24"/>
          <w:highlight w:val="none"/>
        </w:rPr>
        <w:t>万元；</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控股股东未来一年内到期的质押股份数量为</w:t>
      </w:r>
      <w:r>
        <w:rPr>
          <w:rFonts w:hint="eastAsia" w:asciiTheme="minorEastAsia" w:hAnsiTheme="minorEastAsia" w:eastAsiaTheme="minorEastAsia"/>
          <w:sz w:val="24"/>
          <w:highlight w:val="none"/>
          <w:lang w:val="en-US" w:eastAsia="zh-CN"/>
        </w:rPr>
        <w:t>9,600,000</w:t>
      </w:r>
      <w:r>
        <w:rPr>
          <w:rFonts w:hint="eastAsia" w:asciiTheme="minorEastAsia" w:hAnsiTheme="minorEastAsia" w:eastAsiaTheme="minorEastAsia"/>
          <w:sz w:val="24"/>
          <w:highlight w:val="none"/>
        </w:rPr>
        <w:t>股，占其所持股份比例</w:t>
      </w:r>
      <w:r>
        <w:rPr>
          <w:rFonts w:hint="eastAsia" w:asciiTheme="minorEastAsia" w:hAnsiTheme="minorEastAsia" w:eastAsiaTheme="minorEastAsia"/>
          <w:sz w:val="24"/>
          <w:highlight w:val="none"/>
          <w:lang w:val="en-US" w:eastAsia="zh-CN"/>
        </w:rPr>
        <w:t>7.82</w:t>
      </w:r>
      <w:r>
        <w:rPr>
          <w:rFonts w:hint="eastAsia" w:asciiTheme="minorEastAsia" w:hAnsiTheme="minorEastAsia" w:eastAsiaTheme="minorEastAsia"/>
          <w:sz w:val="24"/>
          <w:highlight w:val="none"/>
        </w:rPr>
        <w:t>%，占公司总股本比例为</w:t>
      </w:r>
      <w:r>
        <w:rPr>
          <w:rFonts w:hint="eastAsia" w:asciiTheme="minorEastAsia" w:hAnsiTheme="minorEastAsia" w:eastAsiaTheme="minorEastAsia"/>
          <w:sz w:val="24"/>
          <w:highlight w:val="none"/>
          <w:lang w:val="en-US" w:eastAsia="zh-CN"/>
        </w:rPr>
        <w:t>1.35%</w:t>
      </w:r>
      <w:r>
        <w:rPr>
          <w:rFonts w:hint="eastAsia" w:asciiTheme="minorEastAsia" w:hAnsiTheme="minorEastAsia" w:eastAsiaTheme="minorEastAsia"/>
          <w:sz w:val="24"/>
          <w:highlight w:val="none"/>
        </w:rPr>
        <w:t>，对应融资余额为</w:t>
      </w:r>
      <w:r>
        <w:rPr>
          <w:rFonts w:hint="eastAsia" w:asciiTheme="minorEastAsia" w:hAnsiTheme="minorEastAsia" w:eastAsiaTheme="minorEastAsia"/>
          <w:sz w:val="24"/>
          <w:highlight w:val="none"/>
          <w:lang w:val="en-US" w:eastAsia="zh-CN"/>
        </w:rPr>
        <w:t>4,000</w:t>
      </w:r>
      <w:r>
        <w:rPr>
          <w:rFonts w:hint="eastAsia" w:asciiTheme="minorEastAsia" w:hAnsiTheme="minorEastAsia" w:eastAsiaTheme="minorEastAsia"/>
          <w:sz w:val="24"/>
          <w:highlight w:val="none"/>
        </w:rPr>
        <w:t>万元。</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控股股东具备相应的资金偿还能力，还款资金来源包括经营性现金流、投资收益等。</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2、控股股东不存在通过非经营性资金占用、违规担保、关联交易等侵害上市公司利益的情况。</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3、控股股东质押事项对上市公司的影响</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（1）本次质押事项不会对公司生产经营、主营业务、融资授信及融资成本、持续经营能力产生影响。</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本次质押事项不会对公司治理造成影响，公司的董事会成员不会因此产生变动，控股股东与公司在产权、业务、资产、人员等方面相互独立，不会导致公司实际控制权的变更。公司的股权结构不会因此发生变化，不会对公司日常管理产生影响。</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（3）公司控股股东不存在业绩补偿义务。</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股股东的财务状况和资信状况良好，质押风险在可控范围之内。本次质押不存在可能引发平仓或被强制平仓的情况，不存在可能导致公司实际控制权发生变更的实质性因素。如后续出现风险，控股股东将采取包括但不限于补充质押、提前还款等措施加以应对。</w:t>
      </w:r>
    </w:p>
    <w:p>
      <w:pPr>
        <w:spacing w:line="420" w:lineRule="exact"/>
        <w:ind w:firstLine="480" w:firstLineChars="200"/>
        <w:rPr>
          <w:rFonts w:asciiTheme="minorEastAsia" w:hAnsiTheme="minorEastAsia" w:eastAsiaTheme="minorEastAsia"/>
          <w:sz w:val="24"/>
          <w:highlight w:val="none"/>
        </w:rPr>
      </w:pPr>
    </w:p>
    <w:p>
      <w:pPr>
        <w:spacing w:line="42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特此公告。</w:t>
      </w:r>
    </w:p>
    <w:p>
      <w:pPr>
        <w:spacing w:line="420" w:lineRule="exact"/>
        <w:ind w:firstLine="480" w:firstLineChars="200"/>
        <w:rPr>
          <w:rFonts w:asciiTheme="minorEastAsia" w:hAnsiTheme="minorEastAsia" w:eastAsiaTheme="minorEastAsia"/>
          <w:sz w:val="24"/>
          <w:highlight w:val="none"/>
        </w:rPr>
      </w:pPr>
    </w:p>
    <w:p>
      <w:pPr>
        <w:spacing w:line="420" w:lineRule="exact"/>
        <w:ind w:firstLine="480" w:firstLineChars="200"/>
        <w:rPr>
          <w:rFonts w:asciiTheme="minorEastAsia" w:hAnsiTheme="minorEastAsia" w:eastAsiaTheme="minorEastAsia"/>
          <w:sz w:val="24"/>
          <w:highlight w:val="none"/>
        </w:rPr>
      </w:pPr>
    </w:p>
    <w:p>
      <w:pPr>
        <w:pStyle w:val="4"/>
        <w:adjustRightInd w:val="0"/>
        <w:snapToGrid w:val="0"/>
        <w:spacing w:before="0" w:beforeAutospacing="0" w:after="0" w:afterAutospacing="0" w:line="420" w:lineRule="exact"/>
        <w:ind w:firstLine="480" w:firstLineChars="200"/>
        <w:jc w:val="right"/>
        <w:rPr>
          <w:rFonts w:cs="Arial"/>
          <w:highlight w:val="none"/>
        </w:rPr>
      </w:pPr>
      <w:r>
        <w:rPr>
          <w:rFonts w:hint="eastAsia" w:cs="Arial"/>
          <w:highlight w:val="none"/>
        </w:rPr>
        <w:t>江苏吴中医药发展股份有限公司</w:t>
      </w:r>
    </w:p>
    <w:p>
      <w:pPr>
        <w:pStyle w:val="4"/>
        <w:adjustRightInd w:val="0"/>
        <w:snapToGrid w:val="0"/>
        <w:spacing w:before="0" w:beforeAutospacing="0" w:after="0" w:afterAutospacing="0" w:line="420" w:lineRule="exact"/>
        <w:ind w:right="720" w:firstLine="480" w:firstLineChars="200"/>
        <w:jc w:val="right"/>
        <w:rPr>
          <w:rFonts w:cs="Arial"/>
          <w:highlight w:val="none"/>
        </w:rPr>
      </w:pPr>
      <w:r>
        <w:rPr>
          <w:rFonts w:hint="eastAsia" w:cs="Arial"/>
          <w:highlight w:val="none"/>
        </w:rPr>
        <w:t xml:space="preserve">董事会      </w:t>
      </w:r>
    </w:p>
    <w:p>
      <w:pPr>
        <w:pStyle w:val="4"/>
        <w:adjustRightInd w:val="0"/>
        <w:snapToGrid w:val="0"/>
        <w:spacing w:before="0" w:beforeAutospacing="0" w:after="0" w:afterAutospacing="0" w:line="420" w:lineRule="exact"/>
        <w:ind w:firstLine="480" w:firstLineChars="200"/>
        <w:jc w:val="right"/>
        <w:rPr>
          <w:rFonts w:asciiTheme="minorEastAsia" w:hAnsiTheme="minorEastAsia" w:eastAsiaTheme="minorEastAsia"/>
          <w:sz w:val="24"/>
          <w:highlight w:val="none"/>
        </w:rPr>
      </w:pPr>
      <w:r>
        <w:rPr>
          <w:rFonts w:hint="eastAsia" w:cs="Arial"/>
          <w:highlight w:val="none"/>
        </w:rPr>
        <w:t>202</w:t>
      </w:r>
      <w:r>
        <w:rPr>
          <w:rFonts w:hint="eastAsia" w:cs="Arial"/>
          <w:highlight w:val="none"/>
          <w:lang w:val="en-US" w:eastAsia="zh-CN"/>
        </w:rPr>
        <w:t>4</w:t>
      </w:r>
      <w:r>
        <w:rPr>
          <w:rFonts w:hint="eastAsia" w:cs="Arial"/>
          <w:highlight w:val="none"/>
        </w:rPr>
        <w:t>年</w:t>
      </w:r>
      <w:r>
        <w:rPr>
          <w:rFonts w:hint="eastAsia" w:cs="Arial"/>
          <w:highlight w:val="none"/>
          <w:lang w:val="en-US" w:eastAsia="zh-CN"/>
        </w:rPr>
        <w:t>2</w:t>
      </w:r>
      <w:r>
        <w:rPr>
          <w:rFonts w:hint="eastAsia" w:cs="Arial"/>
          <w:highlight w:val="none"/>
        </w:rPr>
        <w:t>月</w:t>
      </w:r>
      <w:r>
        <w:rPr>
          <w:rFonts w:hint="eastAsia" w:cs="Arial"/>
          <w:highlight w:val="none"/>
          <w:lang w:val="en-US" w:eastAsia="zh-CN"/>
        </w:rPr>
        <w:t>23</w:t>
      </w:r>
      <w:r>
        <w:rPr>
          <w:rFonts w:hint="eastAsia" w:cs="Arial"/>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CD7E0F"/>
    <w:multiLevelType w:val="multilevel"/>
    <w:tmpl w:val="28CD7E0F"/>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jFmNzExYjIxOGZkYmIzZDZjMzU4MDM2MDNkODEifQ=="/>
  </w:docVars>
  <w:rsids>
    <w:rsidRoot w:val="004B1CF2"/>
    <w:rsid w:val="0001153F"/>
    <w:rsid w:val="00015559"/>
    <w:rsid w:val="0003171D"/>
    <w:rsid w:val="000377FA"/>
    <w:rsid w:val="000514F9"/>
    <w:rsid w:val="000A5D05"/>
    <w:rsid w:val="000C1EBF"/>
    <w:rsid w:val="000D5160"/>
    <w:rsid w:val="000E5928"/>
    <w:rsid w:val="001044FC"/>
    <w:rsid w:val="00115DE0"/>
    <w:rsid w:val="00125EB5"/>
    <w:rsid w:val="00141A30"/>
    <w:rsid w:val="0014235B"/>
    <w:rsid w:val="001449C0"/>
    <w:rsid w:val="00163205"/>
    <w:rsid w:val="00167B35"/>
    <w:rsid w:val="001761BA"/>
    <w:rsid w:val="00184711"/>
    <w:rsid w:val="00197104"/>
    <w:rsid w:val="001A6F91"/>
    <w:rsid w:val="001D1578"/>
    <w:rsid w:val="001D1E21"/>
    <w:rsid w:val="001E528D"/>
    <w:rsid w:val="001F698F"/>
    <w:rsid w:val="00203BD0"/>
    <w:rsid w:val="00236894"/>
    <w:rsid w:val="002442A3"/>
    <w:rsid w:val="00251C73"/>
    <w:rsid w:val="0025726D"/>
    <w:rsid w:val="0025795B"/>
    <w:rsid w:val="0027220C"/>
    <w:rsid w:val="002808AB"/>
    <w:rsid w:val="00284CD2"/>
    <w:rsid w:val="00294FF0"/>
    <w:rsid w:val="00295E92"/>
    <w:rsid w:val="002B7CCB"/>
    <w:rsid w:val="002C71E7"/>
    <w:rsid w:val="002D2369"/>
    <w:rsid w:val="002E5A55"/>
    <w:rsid w:val="002F74DC"/>
    <w:rsid w:val="00324EB8"/>
    <w:rsid w:val="0033232D"/>
    <w:rsid w:val="0036788A"/>
    <w:rsid w:val="0037324C"/>
    <w:rsid w:val="00373349"/>
    <w:rsid w:val="00375CF7"/>
    <w:rsid w:val="003870CC"/>
    <w:rsid w:val="003A3A1A"/>
    <w:rsid w:val="003B5345"/>
    <w:rsid w:val="003C607D"/>
    <w:rsid w:val="003D0C3B"/>
    <w:rsid w:val="003D3FFF"/>
    <w:rsid w:val="003E355B"/>
    <w:rsid w:val="003F1B67"/>
    <w:rsid w:val="0041130A"/>
    <w:rsid w:val="0041720E"/>
    <w:rsid w:val="004502F4"/>
    <w:rsid w:val="00496E8A"/>
    <w:rsid w:val="004A3EBD"/>
    <w:rsid w:val="004B1CF2"/>
    <w:rsid w:val="004C27B9"/>
    <w:rsid w:val="004C3DB4"/>
    <w:rsid w:val="004E363D"/>
    <w:rsid w:val="004F1ED6"/>
    <w:rsid w:val="004F1F15"/>
    <w:rsid w:val="0054311D"/>
    <w:rsid w:val="0056118D"/>
    <w:rsid w:val="005619BD"/>
    <w:rsid w:val="005712CB"/>
    <w:rsid w:val="00577CBB"/>
    <w:rsid w:val="00584E96"/>
    <w:rsid w:val="00587ACB"/>
    <w:rsid w:val="005B4F18"/>
    <w:rsid w:val="005C3668"/>
    <w:rsid w:val="005D4ACB"/>
    <w:rsid w:val="005E022D"/>
    <w:rsid w:val="00600AB1"/>
    <w:rsid w:val="006125A1"/>
    <w:rsid w:val="00615D49"/>
    <w:rsid w:val="006412D7"/>
    <w:rsid w:val="00651610"/>
    <w:rsid w:val="00662769"/>
    <w:rsid w:val="00683AED"/>
    <w:rsid w:val="00695D72"/>
    <w:rsid w:val="006B29CA"/>
    <w:rsid w:val="006B2B65"/>
    <w:rsid w:val="006B62AB"/>
    <w:rsid w:val="006C5CAA"/>
    <w:rsid w:val="006D6E76"/>
    <w:rsid w:val="006F3B01"/>
    <w:rsid w:val="007001F0"/>
    <w:rsid w:val="007014FC"/>
    <w:rsid w:val="00755B27"/>
    <w:rsid w:val="007564B5"/>
    <w:rsid w:val="007613E3"/>
    <w:rsid w:val="007648C4"/>
    <w:rsid w:val="00766EEB"/>
    <w:rsid w:val="00772A33"/>
    <w:rsid w:val="007C7BAF"/>
    <w:rsid w:val="00802A0A"/>
    <w:rsid w:val="008368D8"/>
    <w:rsid w:val="00887DA0"/>
    <w:rsid w:val="00893296"/>
    <w:rsid w:val="008935D4"/>
    <w:rsid w:val="008C55C0"/>
    <w:rsid w:val="008E57CC"/>
    <w:rsid w:val="008F5155"/>
    <w:rsid w:val="008F6AB5"/>
    <w:rsid w:val="00933FA5"/>
    <w:rsid w:val="00934104"/>
    <w:rsid w:val="009515F8"/>
    <w:rsid w:val="00955A3F"/>
    <w:rsid w:val="00960430"/>
    <w:rsid w:val="00967AA4"/>
    <w:rsid w:val="00A014DA"/>
    <w:rsid w:val="00A05A16"/>
    <w:rsid w:val="00A267F9"/>
    <w:rsid w:val="00A47583"/>
    <w:rsid w:val="00A72B4C"/>
    <w:rsid w:val="00A7472E"/>
    <w:rsid w:val="00A842DF"/>
    <w:rsid w:val="00AA10D4"/>
    <w:rsid w:val="00AB2664"/>
    <w:rsid w:val="00AC7ABF"/>
    <w:rsid w:val="00AE23F2"/>
    <w:rsid w:val="00B07E79"/>
    <w:rsid w:val="00B31A8D"/>
    <w:rsid w:val="00B36025"/>
    <w:rsid w:val="00B37855"/>
    <w:rsid w:val="00B52013"/>
    <w:rsid w:val="00B834BA"/>
    <w:rsid w:val="00B84C52"/>
    <w:rsid w:val="00B87AB6"/>
    <w:rsid w:val="00BB5C59"/>
    <w:rsid w:val="00BB5F62"/>
    <w:rsid w:val="00BB62E9"/>
    <w:rsid w:val="00BC7D27"/>
    <w:rsid w:val="00BF68F7"/>
    <w:rsid w:val="00C01D90"/>
    <w:rsid w:val="00C14435"/>
    <w:rsid w:val="00C2438F"/>
    <w:rsid w:val="00C43D53"/>
    <w:rsid w:val="00C71DAA"/>
    <w:rsid w:val="00C77455"/>
    <w:rsid w:val="00C84B46"/>
    <w:rsid w:val="00CA4B90"/>
    <w:rsid w:val="00CA7BF4"/>
    <w:rsid w:val="00CC65AD"/>
    <w:rsid w:val="00CD2A4D"/>
    <w:rsid w:val="00CD5891"/>
    <w:rsid w:val="00CD6EAB"/>
    <w:rsid w:val="00CF2676"/>
    <w:rsid w:val="00CF42BE"/>
    <w:rsid w:val="00D04CBB"/>
    <w:rsid w:val="00D21B8D"/>
    <w:rsid w:val="00D23FBF"/>
    <w:rsid w:val="00D26D15"/>
    <w:rsid w:val="00D45281"/>
    <w:rsid w:val="00D53DC4"/>
    <w:rsid w:val="00D564BF"/>
    <w:rsid w:val="00D86A2F"/>
    <w:rsid w:val="00D90BC6"/>
    <w:rsid w:val="00DC0BBB"/>
    <w:rsid w:val="00DC74FC"/>
    <w:rsid w:val="00DD1CD7"/>
    <w:rsid w:val="00E003D0"/>
    <w:rsid w:val="00E025CD"/>
    <w:rsid w:val="00E05034"/>
    <w:rsid w:val="00E220DE"/>
    <w:rsid w:val="00E43FEF"/>
    <w:rsid w:val="00E46A2B"/>
    <w:rsid w:val="00E74755"/>
    <w:rsid w:val="00E77D37"/>
    <w:rsid w:val="00E9529E"/>
    <w:rsid w:val="00E96761"/>
    <w:rsid w:val="00EA6444"/>
    <w:rsid w:val="00EB6BD3"/>
    <w:rsid w:val="00EB7FBA"/>
    <w:rsid w:val="00EF67AA"/>
    <w:rsid w:val="00F03FA2"/>
    <w:rsid w:val="00F168FB"/>
    <w:rsid w:val="00F21312"/>
    <w:rsid w:val="00F23D77"/>
    <w:rsid w:val="00F25299"/>
    <w:rsid w:val="00F642E6"/>
    <w:rsid w:val="00F6574C"/>
    <w:rsid w:val="00FA5496"/>
    <w:rsid w:val="00FB56C5"/>
    <w:rsid w:val="00FB79DD"/>
    <w:rsid w:val="00FE4FBE"/>
    <w:rsid w:val="00FE5ACA"/>
    <w:rsid w:val="023F2212"/>
    <w:rsid w:val="03B15391"/>
    <w:rsid w:val="05DF4D8A"/>
    <w:rsid w:val="068858C6"/>
    <w:rsid w:val="06D810C3"/>
    <w:rsid w:val="084C109D"/>
    <w:rsid w:val="08803584"/>
    <w:rsid w:val="089F7712"/>
    <w:rsid w:val="09D27E0F"/>
    <w:rsid w:val="0A2772DF"/>
    <w:rsid w:val="0CA34463"/>
    <w:rsid w:val="0D0E73B0"/>
    <w:rsid w:val="0D1B557D"/>
    <w:rsid w:val="0DE57A5E"/>
    <w:rsid w:val="0E7E2314"/>
    <w:rsid w:val="103E3AEC"/>
    <w:rsid w:val="123C051C"/>
    <w:rsid w:val="13712447"/>
    <w:rsid w:val="1380268A"/>
    <w:rsid w:val="145853B5"/>
    <w:rsid w:val="14661880"/>
    <w:rsid w:val="15984BA7"/>
    <w:rsid w:val="16325598"/>
    <w:rsid w:val="171750B3"/>
    <w:rsid w:val="17AC1CA0"/>
    <w:rsid w:val="18A85B6C"/>
    <w:rsid w:val="190D49C0"/>
    <w:rsid w:val="198E403D"/>
    <w:rsid w:val="1A725422"/>
    <w:rsid w:val="1CBA09BB"/>
    <w:rsid w:val="1CDF6673"/>
    <w:rsid w:val="1CF04C3B"/>
    <w:rsid w:val="1E82375A"/>
    <w:rsid w:val="1EBF675C"/>
    <w:rsid w:val="1F013CF9"/>
    <w:rsid w:val="1F980D5B"/>
    <w:rsid w:val="1FF561AE"/>
    <w:rsid w:val="209459C7"/>
    <w:rsid w:val="20A24E03"/>
    <w:rsid w:val="21395743"/>
    <w:rsid w:val="219A525F"/>
    <w:rsid w:val="22564055"/>
    <w:rsid w:val="23082BE6"/>
    <w:rsid w:val="240A6253"/>
    <w:rsid w:val="26073C29"/>
    <w:rsid w:val="273D4376"/>
    <w:rsid w:val="277200BB"/>
    <w:rsid w:val="277D71B5"/>
    <w:rsid w:val="27C82043"/>
    <w:rsid w:val="282C169F"/>
    <w:rsid w:val="28AF0904"/>
    <w:rsid w:val="29886EE6"/>
    <w:rsid w:val="2B900159"/>
    <w:rsid w:val="2C4B7881"/>
    <w:rsid w:val="2DD719F4"/>
    <w:rsid w:val="2E0B376C"/>
    <w:rsid w:val="2EC944DF"/>
    <w:rsid w:val="2F171C9D"/>
    <w:rsid w:val="2F682666"/>
    <w:rsid w:val="30E07406"/>
    <w:rsid w:val="32426081"/>
    <w:rsid w:val="35845BB2"/>
    <w:rsid w:val="35FB0A81"/>
    <w:rsid w:val="36140CE4"/>
    <w:rsid w:val="37EE5C0F"/>
    <w:rsid w:val="384F42A3"/>
    <w:rsid w:val="38C764E2"/>
    <w:rsid w:val="394418E0"/>
    <w:rsid w:val="3971469F"/>
    <w:rsid w:val="39D94971"/>
    <w:rsid w:val="3B043A1D"/>
    <w:rsid w:val="3B570BFC"/>
    <w:rsid w:val="3C1E5FF6"/>
    <w:rsid w:val="3C805325"/>
    <w:rsid w:val="3D2757A1"/>
    <w:rsid w:val="3F2C52F0"/>
    <w:rsid w:val="3FA95A4C"/>
    <w:rsid w:val="41823372"/>
    <w:rsid w:val="42637904"/>
    <w:rsid w:val="427A45C5"/>
    <w:rsid w:val="44A127CA"/>
    <w:rsid w:val="463902F3"/>
    <w:rsid w:val="468240BB"/>
    <w:rsid w:val="47AA14A8"/>
    <w:rsid w:val="48534FA8"/>
    <w:rsid w:val="492E7EB7"/>
    <w:rsid w:val="49667651"/>
    <w:rsid w:val="496D426B"/>
    <w:rsid w:val="49F44C5D"/>
    <w:rsid w:val="4B0217F4"/>
    <w:rsid w:val="4BA83F51"/>
    <w:rsid w:val="4C0A6EB7"/>
    <w:rsid w:val="4C896065"/>
    <w:rsid w:val="4CEC3688"/>
    <w:rsid w:val="4D001B6A"/>
    <w:rsid w:val="4D113D78"/>
    <w:rsid w:val="4ED17C62"/>
    <w:rsid w:val="4F9D7B44"/>
    <w:rsid w:val="50CE127F"/>
    <w:rsid w:val="51C44151"/>
    <w:rsid w:val="52EF1454"/>
    <w:rsid w:val="53034162"/>
    <w:rsid w:val="535449BE"/>
    <w:rsid w:val="546240D5"/>
    <w:rsid w:val="548C6722"/>
    <w:rsid w:val="55EA2948"/>
    <w:rsid w:val="59611843"/>
    <w:rsid w:val="5996188C"/>
    <w:rsid w:val="59BA0B75"/>
    <w:rsid w:val="5A1924BD"/>
    <w:rsid w:val="5A276988"/>
    <w:rsid w:val="5A6715FE"/>
    <w:rsid w:val="5AA63D51"/>
    <w:rsid w:val="5AEF5DC2"/>
    <w:rsid w:val="5BFD2B73"/>
    <w:rsid w:val="5DA13381"/>
    <w:rsid w:val="5DF9093A"/>
    <w:rsid w:val="5E4009E5"/>
    <w:rsid w:val="5F677827"/>
    <w:rsid w:val="5FDA37AA"/>
    <w:rsid w:val="60AB6843"/>
    <w:rsid w:val="61D17D64"/>
    <w:rsid w:val="61FE4473"/>
    <w:rsid w:val="63AD1167"/>
    <w:rsid w:val="63D74F7B"/>
    <w:rsid w:val="643423CE"/>
    <w:rsid w:val="66C37A39"/>
    <w:rsid w:val="6828049B"/>
    <w:rsid w:val="683A1419"/>
    <w:rsid w:val="697C4273"/>
    <w:rsid w:val="69B33D95"/>
    <w:rsid w:val="6A4E492F"/>
    <w:rsid w:val="6A5F216E"/>
    <w:rsid w:val="6AD17A9C"/>
    <w:rsid w:val="6B772250"/>
    <w:rsid w:val="6C292A34"/>
    <w:rsid w:val="6C394CEB"/>
    <w:rsid w:val="6CFC5A53"/>
    <w:rsid w:val="6D8F68C7"/>
    <w:rsid w:val="6DF94043"/>
    <w:rsid w:val="6F347726"/>
    <w:rsid w:val="6FE729EA"/>
    <w:rsid w:val="73EA2AA9"/>
    <w:rsid w:val="75B3511C"/>
    <w:rsid w:val="769A0612"/>
    <w:rsid w:val="780103C1"/>
    <w:rsid w:val="79517126"/>
    <w:rsid w:val="79B17BC5"/>
    <w:rsid w:val="79BA2F1D"/>
    <w:rsid w:val="7A4F18B8"/>
    <w:rsid w:val="7B037EC8"/>
    <w:rsid w:val="7B7417F9"/>
    <w:rsid w:val="7C1C2081"/>
    <w:rsid w:val="7C376AA7"/>
    <w:rsid w:val="7C62476A"/>
    <w:rsid w:val="7CF95B0B"/>
    <w:rsid w:val="7D32101D"/>
    <w:rsid w:val="7DA74756"/>
    <w:rsid w:val="7E1E5808"/>
    <w:rsid w:val="7E265025"/>
    <w:rsid w:val="7E4408C3"/>
    <w:rsid w:val="7EB51F05"/>
    <w:rsid w:val="7F4F28D1"/>
    <w:rsid w:val="7F534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7">
    <w:name w:val="List Paragraph"/>
    <w:basedOn w:val="1"/>
    <w:autoRedefine/>
    <w:qFormat/>
    <w:uiPriority w:val="34"/>
    <w:pPr>
      <w:ind w:firstLine="420" w:firstLineChars="200"/>
    </w:pPr>
  </w:style>
  <w:style w:type="character" w:customStyle="1" w:styleId="8">
    <w:name w:val="页眉 Char"/>
    <w:basedOn w:val="6"/>
    <w:link w:val="3"/>
    <w:autoRedefine/>
    <w:qFormat/>
    <w:uiPriority w:val="99"/>
    <w:rPr>
      <w:rFonts w:ascii="Times New Roman" w:hAnsi="Times New Roman" w:eastAsia="宋体" w:cs="Times New Roman"/>
      <w:sz w:val="18"/>
      <w:szCs w:val="18"/>
    </w:rPr>
  </w:style>
  <w:style w:type="character" w:customStyle="1" w:styleId="9">
    <w:name w:val="页脚 Char"/>
    <w:basedOn w:val="6"/>
    <w:link w:val="2"/>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1222</Words>
  <Characters>1452</Characters>
  <Lines>10</Lines>
  <Paragraphs>3</Paragraphs>
  <TotalTime>1046</TotalTime>
  <ScaleCrop>false</ScaleCrop>
  <LinksUpToDate>false</LinksUpToDate>
  <CharactersWithSpaces>1473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2019-11-29T01:28:00Z</dcterms:created>
  <dc:creator>李锐</dc:creator>
  <cp:lastModifiedBy>王雅杰</cp:lastModifiedBy>
  <cp:lastPrinted>2024-02-22T02:33:16Z</cp:lastPrinted>
  <dcterms:modified xsi:type="dcterms:W3CDTF">2024-02-22T02:43:39Z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566372C9E47A49EDBA95543962F0A8EF</vt:lpwstr>
  </property>
</Properties>
</file>