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rPr>
          <w:rFonts w:hint="default" w:ascii="黑体" w:hAnsi="宋体" w:eastAsia="宋体" w:cs="黑体"/>
          <w:kern w:val="0"/>
          <w:sz w:val="30"/>
          <w:szCs w:val="30"/>
          <w:highlight w:val="yellow"/>
          <w:lang w:val="en-US" w:eastAsia="zh-CN"/>
        </w:rPr>
      </w:pPr>
      <w:r>
        <w:rPr>
          <w:rFonts w:hint="eastAsia" w:ascii="宋体" w:hAnsi="宋体" w:cs="宋体"/>
          <w:kern w:val="0"/>
          <w:sz w:val="24"/>
        </w:rPr>
        <w:t>证券代码：</w:t>
      </w:r>
      <w:r>
        <w:rPr>
          <w:rFonts w:ascii="宋体" w:hAnsi="宋体" w:cs="Arial"/>
          <w:kern w:val="0"/>
          <w:sz w:val="24"/>
        </w:rPr>
        <w:t>600</w:t>
      </w:r>
      <w:r>
        <w:rPr>
          <w:rFonts w:hint="eastAsia" w:ascii="宋体" w:hAnsi="宋体" w:cs="Arial"/>
          <w:kern w:val="0"/>
          <w:sz w:val="24"/>
        </w:rPr>
        <w:t xml:space="preserve">200  </w:t>
      </w:r>
      <w:r>
        <w:rPr>
          <w:rFonts w:ascii="宋体" w:hAnsi="宋体" w:cs="Arial"/>
          <w:kern w:val="0"/>
          <w:sz w:val="24"/>
        </w:rPr>
        <w:t xml:space="preserve"> </w:t>
      </w:r>
      <w:r>
        <w:rPr>
          <w:rFonts w:hint="eastAsia" w:ascii="宋体" w:hAnsi="宋体" w:cs="Arial"/>
          <w:kern w:val="0"/>
          <w:sz w:val="24"/>
        </w:rPr>
        <w:t xml:space="preserve">      </w:t>
      </w:r>
      <w:r>
        <w:rPr>
          <w:rFonts w:hint="eastAsia" w:ascii="宋体" w:hAnsi="宋体" w:cs="宋体"/>
          <w:kern w:val="0"/>
          <w:sz w:val="24"/>
        </w:rPr>
        <w:t>证券简称：江苏吴中</w:t>
      </w:r>
      <w:r>
        <w:rPr>
          <w:rFonts w:ascii="宋体" w:hAnsi="宋体" w:cs="宋体"/>
          <w:kern w:val="0"/>
          <w:sz w:val="24"/>
        </w:rPr>
        <w:t xml:space="preserve"> </w:t>
      </w:r>
      <w:r>
        <w:rPr>
          <w:rFonts w:hint="eastAsia" w:ascii="宋体" w:hAnsi="宋体" w:cs="宋体"/>
          <w:kern w:val="0"/>
          <w:sz w:val="24"/>
          <w:lang w:val="en-US" w:eastAsia="zh-CN"/>
        </w:rPr>
        <w:t xml:space="preserve">       </w:t>
      </w:r>
      <w:r>
        <w:rPr>
          <w:rFonts w:hint="eastAsia" w:ascii="宋体" w:hAnsi="宋体" w:cs="宋体"/>
          <w:kern w:val="0"/>
          <w:sz w:val="24"/>
        </w:rPr>
        <w:t xml:space="preserve"> </w:t>
      </w:r>
      <w:r>
        <w:rPr>
          <w:rFonts w:hint="eastAsia" w:ascii="宋体" w:hAnsi="宋体" w:cs="Arial"/>
          <w:kern w:val="0"/>
          <w:sz w:val="24"/>
        </w:rPr>
        <w:t>公告编号：临2024-0</w:t>
      </w:r>
      <w:r>
        <w:rPr>
          <w:rFonts w:hint="eastAsia" w:ascii="宋体" w:hAnsi="宋体" w:cs="Arial"/>
          <w:kern w:val="0"/>
          <w:sz w:val="24"/>
          <w:lang w:val="en-US" w:eastAsia="zh-CN"/>
        </w:rPr>
        <w:t>10</w:t>
      </w:r>
    </w:p>
    <w:p>
      <w:pPr>
        <w:spacing w:line="360" w:lineRule="auto"/>
        <w:jc w:val="center"/>
        <w:rPr>
          <w:rFonts w:ascii="黑体" w:hAnsi="宋体" w:eastAsia="黑体"/>
          <w:b/>
          <w:bCs/>
          <w:color w:val="FF0000"/>
          <w:sz w:val="32"/>
          <w:szCs w:val="32"/>
        </w:rPr>
      </w:pPr>
    </w:p>
    <w:p>
      <w:pPr>
        <w:spacing w:line="360" w:lineRule="auto"/>
        <w:jc w:val="center"/>
        <w:rPr>
          <w:rFonts w:ascii="黑体" w:hAnsi="宋体" w:eastAsia="黑体"/>
          <w:b/>
          <w:bCs/>
          <w:color w:val="FF0000"/>
          <w:sz w:val="32"/>
          <w:szCs w:val="32"/>
        </w:rPr>
      </w:pPr>
      <w:r>
        <w:rPr>
          <w:rFonts w:hint="eastAsia" w:ascii="黑体" w:hAnsi="宋体" w:eastAsia="黑体"/>
          <w:b/>
          <w:bCs/>
          <w:color w:val="FF0000"/>
          <w:sz w:val="32"/>
          <w:szCs w:val="32"/>
        </w:rPr>
        <w:t>江苏吴中医药发展股份有限公司</w:t>
      </w:r>
    </w:p>
    <w:p>
      <w:pPr>
        <w:spacing w:line="360" w:lineRule="auto"/>
        <w:jc w:val="center"/>
        <w:rPr>
          <w:rFonts w:ascii="黑体" w:hAnsi="宋体" w:eastAsia="黑体"/>
          <w:b/>
          <w:bCs/>
          <w:color w:val="FF0000"/>
          <w:sz w:val="32"/>
          <w:szCs w:val="32"/>
        </w:rPr>
      </w:pPr>
      <w:r>
        <w:rPr>
          <w:rFonts w:hint="eastAsia" w:ascii="黑体" w:hAnsi="宋体" w:eastAsia="黑体"/>
          <w:b/>
          <w:bCs/>
          <w:color w:val="FF0000"/>
          <w:sz w:val="32"/>
          <w:szCs w:val="32"/>
        </w:rPr>
        <w:t>2023年度业绩预亏公告</w:t>
      </w:r>
    </w:p>
    <w:p>
      <w:pPr>
        <w:autoSpaceDE w:val="0"/>
        <w:autoSpaceDN w:val="0"/>
        <w:adjustRightInd w:val="0"/>
        <w:spacing w:line="360" w:lineRule="auto"/>
        <w:ind w:firstLine="482" w:firstLineChars="200"/>
        <w:rPr>
          <w:rFonts w:hint="eastAsia" w:ascii="ˎ̥" w:hAnsi="ˎ̥" w:eastAsia="宋体"/>
          <w:b/>
          <w:color w:val="000000"/>
          <w:sz w:val="24"/>
          <w:lang w:val="en-US" w:eastAsia="zh-CN"/>
        </w:rPr>
      </w:pPr>
    </w:p>
    <w:p>
      <w:pPr>
        <w:autoSpaceDE w:val="0"/>
        <w:autoSpaceDN w:val="0"/>
        <w:adjustRightInd w:val="0"/>
        <w:spacing w:line="360" w:lineRule="auto"/>
        <w:ind w:firstLine="482" w:firstLineChars="200"/>
        <w:rPr>
          <w:rFonts w:hint="eastAsia" w:ascii="ˎ̥" w:hAnsi="ˎ̥"/>
          <w:b/>
          <w:color w:val="000000"/>
          <w:sz w:val="24"/>
        </w:rPr>
      </w:pPr>
      <w:r>
        <w:rPr>
          <w:rFonts w:hint="eastAsia" w:ascii="ˎ̥" w:hAnsi="ˎ̥"/>
          <w:b/>
          <w:color w:val="000000"/>
          <w:sz w:val="24"/>
        </w:rPr>
        <w:t>本公司董事会及全体董事保证本公告内容不存在任何虚假记载、误导性陈述或者重大遗漏，并对其内容的真实性、准确性和完整性承担法律责任。</w:t>
      </w:r>
    </w:p>
    <w:p>
      <w:pPr>
        <w:autoSpaceDE w:val="0"/>
        <w:autoSpaceDN w:val="0"/>
        <w:adjustRightInd w:val="0"/>
        <w:spacing w:line="360" w:lineRule="auto"/>
        <w:ind w:firstLine="480" w:firstLineChars="200"/>
        <w:rPr>
          <w:rFonts w:hint="eastAsia" w:ascii="ˎ̥" w:hAnsi="ˎ̥"/>
          <w:color w:val="000000"/>
          <w:sz w:val="24"/>
        </w:rPr>
      </w:pPr>
    </w:p>
    <w:p>
      <w:pPr>
        <w:widowControl/>
        <w:spacing w:line="360" w:lineRule="auto"/>
        <w:jc w:val="left"/>
        <w:rPr>
          <w:rFonts w:ascii="宋体" w:hAnsi="宋体" w:cs="宋体"/>
          <w:b/>
          <w:color w:val="000000"/>
          <w:kern w:val="0"/>
          <w:sz w:val="24"/>
        </w:rPr>
      </w:pPr>
      <w:r>
        <w:rPr>
          <w:rFonts w:hint="eastAsia" w:ascii="宋体" w:hAnsi="宋体" w:cs="宋体"/>
          <w:b/>
          <w:color w:val="000000"/>
          <w:kern w:val="0"/>
          <w:sz w:val="24"/>
        </w:rPr>
        <w:t>重要内容提示：</w:t>
      </w:r>
    </w:p>
    <w:p>
      <w:pPr>
        <w:pStyle w:val="6"/>
        <w:widowControl/>
        <w:numPr>
          <w:ilvl w:val="0"/>
          <w:numId w:val="1"/>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业绩预告的具体适用情形：净利润为负值。</w:t>
      </w:r>
    </w:p>
    <w:p>
      <w:pPr>
        <w:pStyle w:val="6"/>
        <w:widowControl/>
        <w:numPr>
          <w:ilvl w:val="0"/>
          <w:numId w:val="1"/>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业绩预告相关的主要财务数据情况：江苏吴中医药发展股份有限公司（以下简称“公司”或“上市公司”）预计2023年度实现归属于上市公司股东的净利润约-7,</w:t>
      </w:r>
      <w:r>
        <w:rPr>
          <w:rFonts w:ascii="宋体" w:hAnsi="宋体" w:cs="宋体"/>
          <w:color w:val="000000"/>
          <w:kern w:val="0"/>
          <w:sz w:val="24"/>
        </w:rPr>
        <w:t>000万元至</w:t>
      </w:r>
      <w:r>
        <w:rPr>
          <w:rFonts w:hint="eastAsia" w:ascii="宋体" w:hAnsi="宋体" w:cs="宋体"/>
          <w:color w:val="000000"/>
          <w:kern w:val="0"/>
          <w:sz w:val="24"/>
        </w:rPr>
        <w:t>-5,</w:t>
      </w:r>
      <w:r>
        <w:rPr>
          <w:rFonts w:ascii="宋体" w:hAnsi="宋体" w:cs="宋体"/>
          <w:color w:val="000000"/>
          <w:kern w:val="0"/>
          <w:sz w:val="24"/>
        </w:rPr>
        <w:t>000</w:t>
      </w:r>
      <w:r>
        <w:rPr>
          <w:rFonts w:hint="eastAsia" w:ascii="宋体" w:hAnsi="宋体" w:cs="宋体"/>
          <w:color w:val="000000"/>
          <w:kern w:val="0"/>
          <w:sz w:val="24"/>
        </w:rPr>
        <w:t>万元。预计2023年度实现归属于上市公司扣除非经常性损益的净利润约-</w:t>
      </w:r>
      <w:r>
        <w:rPr>
          <w:rFonts w:ascii="宋体" w:hAnsi="宋体" w:cs="宋体"/>
          <w:color w:val="000000"/>
          <w:kern w:val="0"/>
          <w:sz w:val="24"/>
        </w:rPr>
        <w:t>9</w:t>
      </w:r>
      <w:r>
        <w:rPr>
          <w:rFonts w:hint="eastAsia" w:ascii="宋体" w:hAnsi="宋体" w:cs="宋体"/>
          <w:color w:val="000000"/>
          <w:kern w:val="0"/>
          <w:sz w:val="24"/>
        </w:rPr>
        <w:t>,</w:t>
      </w:r>
      <w:r>
        <w:rPr>
          <w:rFonts w:ascii="宋体" w:hAnsi="宋体" w:cs="宋体"/>
          <w:color w:val="000000"/>
          <w:kern w:val="0"/>
          <w:sz w:val="24"/>
        </w:rPr>
        <w:t>500</w:t>
      </w:r>
      <w:r>
        <w:rPr>
          <w:rFonts w:hint="eastAsia" w:ascii="宋体" w:hAnsi="宋体" w:cs="宋体"/>
          <w:color w:val="000000"/>
          <w:kern w:val="0"/>
          <w:sz w:val="24"/>
        </w:rPr>
        <w:t>万元至-</w:t>
      </w:r>
      <w:r>
        <w:rPr>
          <w:rFonts w:ascii="宋体" w:hAnsi="宋体" w:cs="宋体"/>
          <w:color w:val="000000"/>
          <w:kern w:val="0"/>
          <w:sz w:val="24"/>
        </w:rPr>
        <w:t>7</w:t>
      </w:r>
      <w:r>
        <w:rPr>
          <w:rFonts w:hint="eastAsia" w:ascii="宋体" w:hAnsi="宋体" w:cs="宋体"/>
          <w:color w:val="000000"/>
          <w:kern w:val="0"/>
          <w:sz w:val="24"/>
        </w:rPr>
        <w:t>,</w:t>
      </w:r>
      <w:r>
        <w:rPr>
          <w:rFonts w:ascii="宋体" w:hAnsi="宋体" w:cs="宋体"/>
          <w:color w:val="000000"/>
          <w:kern w:val="0"/>
          <w:sz w:val="24"/>
        </w:rPr>
        <w:t>500万元。</w:t>
      </w:r>
    </w:p>
    <w:p>
      <w:pPr>
        <w:widowControl/>
        <w:spacing w:line="360" w:lineRule="auto"/>
        <w:ind w:firstLine="480"/>
        <w:jc w:val="left"/>
        <w:rPr>
          <w:rFonts w:cs="宋体" w:asciiTheme="minorEastAsia" w:hAnsiTheme="minorEastAsia" w:eastAsiaTheme="minorEastAsia"/>
          <w:b/>
          <w:color w:val="000000"/>
          <w:kern w:val="0"/>
          <w:sz w:val="24"/>
        </w:rPr>
      </w:pPr>
    </w:p>
    <w:p>
      <w:pPr>
        <w:spacing w:line="360" w:lineRule="auto"/>
        <w:ind w:firstLine="482" w:firstLineChars="200"/>
        <w:rPr>
          <w:rFonts w:asciiTheme="minorEastAsia" w:hAnsiTheme="minorEastAsia"/>
          <w:b/>
          <w:sz w:val="24"/>
        </w:rPr>
      </w:pPr>
      <w:r>
        <w:rPr>
          <w:rFonts w:hint="eastAsia" w:asciiTheme="minorEastAsia" w:hAnsiTheme="minorEastAsia"/>
          <w:b/>
          <w:sz w:val="24"/>
        </w:rPr>
        <w:t>一、本期业绩预告情况</w:t>
      </w:r>
    </w:p>
    <w:p>
      <w:pPr>
        <w:spacing w:line="360" w:lineRule="auto"/>
        <w:ind w:firstLine="480" w:firstLineChars="200"/>
        <w:rPr>
          <w:rFonts w:asciiTheme="minorEastAsia" w:hAnsiTheme="minorEastAsia"/>
          <w:sz w:val="24"/>
        </w:rPr>
      </w:pPr>
      <w:r>
        <w:rPr>
          <w:rFonts w:hint="eastAsia" w:asciiTheme="minorEastAsia" w:hAnsiTheme="minorEastAsia"/>
          <w:sz w:val="24"/>
        </w:rPr>
        <w:t>（一）业绩预告期间</w:t>
      </w:r>
    </w:p>
    <w:p>
      <w:pPr>
        <w:spacing w:line="360" w:lineRule="auto"/>
        <w:ind w:firstLine="480" w:firstLineChars="200"/>
        <w:rPr>
          <w:rFonts w:asciiTheme="minorEastAsia" w:hAnsiTheme="minorEastAsia"/>
          <w:sz w:val="24"/>
        </w:rPr>
      </w:pPr>
      <w:r>
        <w:rPr>
          <w:rFonts w:hint="eastAsia" w:asciiTheme="minorEastAsia" w:hAnsiTheme="minorEastAsia"/>
          <w:sz w:val="24"/>
        </w:rPr>
        <w:t>2023年1月1日至2023年</w:t>
      </w:r>
      <w:r>
        <w:rPr>
          <w:rFonts w:asciiTheme="minorEastAsia" w:hAnsiTheme="minorEastAsia"/>
          <w:sz w:val="24"/>
        </w:rPr>
        <w:t>12</w:t>
      </w:r>
      <w:r>
        <w:rPr>
          <w:rFonts w:hint="eastAsia" w:asciiTheme="minorEastAsia" w:hAnsiTheme="minorEastAsia"/>
          <w:sz w:val="24"/>
        </w:rPr>
        <w:t>月3</w:t>
      </w:r>
      <w:r>
        <w:rPr>
          <w:rFonts w:asciiTheme="minorEastAsia" w:hAnsiTheme="minorEastAsia"/>
          <w:sz w:val="24"/>
        </w:rPr>
        <w:t>1</w:t>
      </w:r>
      <w:r>
        <w:rPr>
          <w:rFonts w:hint="eastAsia" w:asciiTheme="minorEastAsia" w:hAnsiTheme="minorEastAsia"/>
          <w:sz w:val="24"/>
        </w:rPr>
        <w:t>日</w:t>
      </w:r>
    </w:p>
    <w:p>
      <w:pPr>
        <w:spacing w:line="360" w:lineRule="auto"/>
        <w:ind w:firstLine="480" w:firstLineChars="200"/>
        <w:rPr>
          <w:rFonts w:asciiTheme="minorEastAsia" w:hAnsiTheme="minorEastAsia"/>
          <w:sz w:val="24"/>
        </w:rPr>
      </w:pPr>
      <w:r>
        <w:rPr>
          <w:rFonts w:hint="eastAsia" w:asciiTheme="minorEastAsia" w:hAnsiTheme="minorEastAsia"/>
          <w:sz w:val="24"/>
        </w:rPr>
        <w:t>（二）业绩预告情况</w:t>
      </w:r>
    </w:p>
    <w:p>
      <w:pPr>
        <w:spacing w:line="360" w:lineRule="auto"/>
        <w:ind w:firstLine="480" w:firstLineChars="200"/>
        <w:rPr>
          <w:rFonts w:asciiTheme="minorEastAsia" w:hAnsiTheme="minorEastAsia"/>
          <w:sz w:val="24"/>
        </w:rPr>
      </w:pPr>
      <w:r>
        <w:rPr>
          <w:rFonts w:hint="eastAsia" w:asciiTheme="minorEastAsia" w:hAnsiTheme="minorEastAsia"/>
          <w:sz w:val="24"/>
        </w:rPr>
        <w:t>1、经财务部门初步测算，预计2023年度实现归属于上市公司股东的净利润约</w:t>
      </w:r>
      <w:r>
        <w:rPr>
          <w:rFonts w:hint="eastAsia" w:ascii="宋体" w:hAnsi="宋体" w:cs="宋体"/>
          <w:color w:val="000000"/>
          <w:kern w:val="0"/>
          <w:sz w:val="24"/>
        </w:rPr>
        <w:t>-7,</w:t>
      </w:r>
      <w:r>
        <w:rPr>
          <w:rFonts w:ascii="宋体" w:hAnsi="宋体" w:cs="宋体"/>
          <w:color w:val="000000"/>
          <w:kern w:val="0"/>
          <w:sz w:val="24"/>
        </w:rPr>
        <w:t>000万元至</w:t>
      </w:r>
      <w:r>
        <w:rPr>
          <w:rFonts w:hint="eastAsia" w:ascii="宋体" w:hAnsi="宋体" w:cs="宋体"/>
          <w:color w:val="000000"/>
          <w:kern w:val="0"/>
          <w:sz w:val="24"/>
        </w:rPr>
        <w:t>-5,</w:t>
      </w:r>
      <w:r>
        <w:rPr>
          <w:rFonts w:ascii="宋体" w:hAnsi="宋体" w:cs="宋体"/>
          <w:color w:val="000000"/>
          <w:kern w:val="0"/>
          <w:sz w:val="24"/>
        </w:rPr>
        <w:t>000</w:t>
      </w:r>
      <w:r>
        <w:rPr>
          <w:rFonts w:hint="eastAsia" w:ascii="宋体" w:hAnsi="宋体" w:cs="宋体"/>
          <w:color w:val="000000"/>
          <w:kern w:val="0"/>
          <w:sz w:val="24"/>
        </w:rPr>
        <w:t>万元</w:t>
      </w:r>
      <w:r>
        <w:rPr>
          <w:rFonts w:hint="eastAsia" w:asciiTheme="minorEastAsia" w:hAnsiTheme="minorEastAsia"/>
          <w:sz w:val="24"/>
        </w:rPr>
        <w:t>。</w:t>
      </w:r>
    </w:p>
    <w:p>
      <w:pPr>
        <w:spacing w:line="360" w:lineRule="auto"/>
        <w:ind w:firstLine="480" w:firstLineChars="200"/>
        <w:rPr>
          <w:rFonts w:asciiTheme="minorEastAsia" w:hAnsiTheme="minorEastAsia"/>
          <w:sz w:val="24"/>
        </w:rPr>
      </w:pPr>
      <w:r>
        <w:rPr>
          <w:rFonts w:hint="eastAsia" w:asciiTheme="minorEastAsia" w:hAnsiTheme="minorEastAsia"/>
          <w:sz w:val="24"/>
        </w:rPr>
        <w:t>2、预计2023年度实现归属于上市公司扣除非经常性损益的净利润约-</w:t>
      </w:r>
      <w:r>
        <w:rPr>
          <w:rFonts w:ascii="宋体" w:hAnsi="宋体" w:cs="宋体"/>
          <w:color w:val="000000"/>
          <w:kern w:val="0"/>
          <w:sz w:val="24"/>
        </w:rPr>
        <w:t>9</w:t>
      </w:r>
      <w:r>
        <w:rPr>
          <w:rFonts w:hint="eastAsia" w:ascii="宋体" w:hAnsi="宋体" w:cs="宋体"/>
          <w:color w:val="000000"/>
          <w:kern w:val="0"/>
          <w:sz w:val="24"/>
        </w:rPr>
        <w:t>,</w:t>
      </w:r>
      <w:r>
        <w:rPr>
          <w:rFonts w:ascii="宋体" w:hAnsi="宋体" w:cs="宋体"/>
          <w:color w:val="000000"/>
          <w:kern w:val="0"/>
          <w:sz w:val="24"/>
        </w:rPr>
        <w:t>500</w:t>
      </w:r>
      <w:r>
        <w:rPr>
          <w:rFonts w:hint="eastAsia" w:ascii="宋体" w:hAnsi="宋体" w:cs="宋体"/>
          <w:color w:val="000000"/>
          <w:kern w:val="0"/>
          <w:sz w:val="24"/>
        </w:rPr>
        <w:t>万元至-</w:t>
      </w:r>
      <w:r>
        <w:rPr>
          <w:rFonts w:ascii="宋体" w:hAnsi="宋体" w:cs="宋体"/>
          <w:color w:val="000000"/>
          <w:kern w:val="0"/>
          <w:sz w:val="24"/>
        </w:rPr>
        <w:t>7</w:t>
      </w:r>
      <w:r>
        <w:rPr>
          <w:rFonts w:hint="eastAsia" w:ascii="宋体" w:hAnsi="宋体" w:cs="宋体"/>
          <w:color w:val="000000"/>
          <w:kern w:val="0"/>
          <w:sz w:val="24"/>
        </w:rPr>
        <w:t>,</w:t>
      </w:r>
      <w:r>
        <w:rPr>
          <w:rFonts w:ascii="宋体" w:hAnsi="宋体" w:cs="宋体"/>
          <w:color w:val="000000"/>
          <w:kern w:val="0"/>
          <w:sz w:val="24"/>
        </w:rPr>
        <w:t>500万元</w:t>
      </w:r>
      <w:r>
        <w:rPr>
          <w:rFonts w:hint="eastAsia" w:asciiTheme="minorEastAsia" w:hAnsiTheme="minorEastAsia"/>
          <w:sz w:val="24"/>
        </w:rPr>
        <w:t>。</w:t>
      </w:r>
    </w:p>
    <w:p>
      <w:pPr>
        <w:spacing w:line="360" w:lineRule="auto"/>
        <w:ind w:firstLine="480" w:firstLineChars="200"/>
        <w:rPr>
          <w:rFonts w:asciiTheme="minorEastAsia" w:hAnsiTheme="minorEastAsia"/>
          <w:sz w:val="24"/>
        </w:rPr>
      </w:pPr>
      <w:r>
        <w:rPr>
          <w:rFonts w:hint="eastAsia" w:asciiTheme="minorEastAsia" w:hAnsiTheme="minorEastAsia"/>
          <w:sz w:val="24"/>
        </w:rPr>
        <w:t>（三）本期业绩预告未经注册会计师审计。</w:t>
      </w:r>
    </w:p>
    <w:p>
      <w:pPr>
        <w:spacing w:line="360" w:lineRule="auto"/>
        <w:ind w:firstLine="480" w:firstLineChars="200"/>
        <w:rPr>
          <w:rFonts w:asciiTheme="minorEastAsia" w:hAnsiTheme="minorEastAsia"/>
          <w:sz w:val="24"/>
        </w:rPr>
      </w:pPr>
    </w:p>
    <w:p>
      <w:pPr>
        <w:spacing w:line="360" w:lineRule="auto"/>
        <w:ind w:firstLine="482" w:firstLineChars="200"/>
        <w:rPr>
          <w:rFonts w:asciiTheme="minorEastAsia" w:hAnsiTheme="minorEastAsia"/>
          <w:b/>
          <w:sz w:val="24"/>
        </w:rPr>
      </w:pPr>
      <w:r>
        <w:rPr>
          <w:rFonts w:hint="eastAsia" w:asciiTheme="minorEastAsia" w:hAnsiTheme="minorEastAsia"/>
          <w:b/>
          <w:sz w:val="24"/>
        </w:rPr>
        <w:t>二、上年同期业绩情况</w:t>
      </w:r>
    </w:p>
    <w:p>
      <w:pPr>
        <w:spacing w:line="360" w:lineRule="auto"/>
        <w:ind w:firstLine="480" w:firstLineChars="200"/>
        <w:rPr>
          <w:rFonts w:asciiTheme="minorEastAsia" w:hAnsiTheme="minorEastAsia"/>
          <w:sz w:val="24"/>
        </w:rPr>
      </w:pPr>
      <w:r>
        <w:rPr>
          <w:rFonts w:hint="eastAsia" w:asciiTheme="minorEastAsia" w:hAnsiTheme="minorEastAsia"/>
          <w:sz w:val="24"/>
        </w:rPr>
        <w:t>（一）归属于上市公司股东的净利润：-7</w:t>
      </w:r>
      <w:r>
        <w:rPr>
          <w:rFonts w:asciiTheme="minorEastAsia" w:hAnsiTheme="minorEastAsia"/>
          <w:sz w:val="24"/>
        </w:rPr>
        <w:t>,</w:t>
      </w:r>
      <w:r>
        <w:rPr>
          <w:rFonts w:hint="eastAsia" w:asciiTheme="minorEastAsia" w:hAnsiTheme="minorEastAsia"/>
          <w:sz w:val="24"/>
        </w:rPr>
        <w:t>619.73万元。</w:t>
      </w:r>
    </w:p>
    <w:p>
      <w:pPr>
        <w:spacing w:line="360" w:lineRule="auto"/>
        <w:ind w:firstLine="480" w:firstLineChars="200"/>
        <w:rPr>
          <w:rFonts w:asciiTheme="minorEastAsia" w:hAnsiTheme="minorEastAsia"/>
          <w:sz w:val="24"/>
        </w:rPr>
      </w:pPr>
      <w:r>
        <w:rPr>
          <w:rFonts w:hint="eastAsia" w:asciiTheme="minorEastAsia" w:hAnsiTheme="minorEastAsia"/>
          <w:sz w:val="24"/>
        </w:rPr>
        <w:t>归属于上市公司股东的扣除非经常性损益的净利润：-9,651.6</w:t>
      </w:r>
      <w:r>
        <w:rPr>
          <w:rFonts w:asciiTheme="minorEastAsia" w:hAnsiTheme="minorEastAsia"/>
          <w:sz w:val="24"/>
        </w:rPr>
        <w:t>3</w:t>
      </w:r>
      <w:r>
        <w:rPr>
          <w:rFonts w:hint="eastAsia" w:asciiTheme="minorEastAsia" w:hAnsiTheme="minorEastAsia"/>
          <w:sz w:val="24"/>
        </w:rPr>
        <w:t>万元。</w:t>
      </w:r>
    </w:p>
    <w:p>
      <w:pPr>
        <w:spacing w:line="360" w:lineRule="auto"/>
        <w:ind w:firstLine="480" w:firstLineChars="200"/>
        <w:rPr>
          <w:rFonts w:asciiTheme="minorEastAsia" w:hAnsiTheme="minorEastAsia"/>
          <w:sz w:val="24"/>
        </w:rPr>
      </w:pPr>
      <w:r>
        <w:rPr>
          <w:rFonts w:hint="eastAsia" w:asciiTheme="minorEastAsia" w:hAnsiTheme="minorEastAsia"/>
          <w:sz w:val="24"/>
        </w:rPr>
        <w:t>（二）每股收益：-0.107元。</w:t>
      </w:r>
    </w:p>
    <w:p>
      <w:pPr>
        <w:spacing w:line="360" w:lineRule="auto"/>
        <w:ind w:firstLine="480" w:firstLineChars="200"/>
        <w:rPr>
          <w:rFonts w:asciiTheme="minorEastAsia" w:hAnsiTheme="minorEastAsia"/>
          <w:sz w:val="24"/>
        </w:rPr>
      </w:pPr>
    </w:p>
    <w:p>
      <w:pPr>
        <w:spacing w:line="360" w:lineRule="auto"/>
        <w:ind w:firstLine="482" w:firstLineChars="200"/>
        <w:rPr>
          <w:rFonts w:asciiTheme="minorEastAsia" w:hAnsiTheme="minorEastAsia"/>
          <w:b/>
          <w:sz w:val="24"/>
        </w:rPr>
      </w:pPr>
      <w:r>
        <w:rPr>
          <w:rFonts w:hint="eastAsia" w:asciiTheme="minorEastAsia" w:hAnsiTheme="minorEastAsia"/>
          <w:b/>
          <w:sz w:val="24"/>
        </w:rPr>
        <w:t>三、本期业绩预亏的主要原因</w:t>
      </w:r>
    </w:p>
    <w:p>
      <w:pPr>
        <w:widowControl/>
        <w:spacing w:line="360" w:lineRule="auto"/>
        <w:ind w:firstLine="480" w:firstLineChars="200"/>
        <w:jc w:val="left"/>
        <w:rPr>
          <w:rFonts w:asciiTheme="minorEastAsia" w:hAnsiTheme="minorEastAsia"/>
          <w:sz w:val="24"/>
        </w:rPr>
      </w:pPr>
      <w:bookmarkStart w:id="0" w:name="_GoBack"/>
      <w:bookmarkEnd w:id="0"/>
      <w:r>
        <w:rPr>
          <w:rFonts w:asciiTheme="minorEastAsia" w:hAnsiTheme="minorEastAsia"/>
          <w:sz w:val="24"/>
        </w:rPr>
        <w:t>2023年度，</w:t>
      </w:r>
      <w:r>
        <w:rPr>
          <w:rFonts w:hint="eastAsia" w:asciiTheme="minorEastAsia" w:hAnsiTheme="minorEastAsia"/>
          <w:sz w:val="24"/>
        </w:rPr>
        <w:t>公司部分医药产品因退出医保、全国集采和厂房搬迁停产原因造成医药工业产品收入和毛利有所下降</w:t>
      </w:r>
      <w:r>
        <w:rPr>
          <w:rFonts w:asciiTheme="minorEastAsia" w:hAnsiTheme="minorEastAsia"/>
          <w:sz w:val="24"/>
        </w:rPr>
        <w:t>；股权激励计划的实施增加股权激励费用；公司医美业务</w:t>
      </w:r>
      <w:r>
        <w:rPr>
          <w:rFonts w:hint="eastAsia" w:asciiTheme="minorEastAsia" w:hAnsiTheme="minorEastAsia"/>
          <w:sz w:val="24"/>
        </w:rPr>
        <w:t>2</w:t>
      </w:r>
      <w:r>
        <w:rPr>
          <w:rFonts w:asciiTheme="minorEastAsia" w:hAnsiTheme="minorEastAsia"/>
          <w:sz w:val="24"/>
        </w:rPr>
        <w:t>023</w:t>
      </w:r>
      <w:r>
        <w:rPr>
          <w:rFonts w:hint="eastAsia" w:asciiTheme="minorEastAsia" w:hAnsiTheme="minorEastAsia"/>
          <w:sz w:val="24"/>
        </w:rPr>
        <w:t>年度尚处研发和注册阶段而尚未实现盈利</w:t>
      </w:r>
      <w:r>
        <w:rPr>
          <w:rFonts w:asciiTheme="minorEastAsia" w:hAnsiTheme="minorEastAsia"/>
          <w:sz w:val="24"/>
        </w:rPr>
        <w:t>。</w:t>
      </w:r>
    </w:p>
    <w:p>
      <w:pPr>
        <w:widowControl/>
        <w:spacing w:line="360" w:lineRule="auto"/>
        <w:ind w:firstLine="480"/>
        <w:jc w:val="left"/>
        <w:rPr>
          <w:rFonts w:hint="eastAsia" w:cs="宋体" w:asciiTheme="minorEastAsia" w:hAnsiTheme="minorEastAsia" w:eastAsiaTheme="minorEastAsia"/>
          <w:b/>
          <w:color w:val="000000"/>
          <w:kern w:val="0"/>
          <w:sz w:val="24"/>
        </w:rPr>
      </w:pPr>
    </w:p>
    <w:p>
      <w:pPr>
        <w:widowControl/>
        <w:spacing w:line="360" w:lineRule="auto"/>
        <w:ind w:firstLine="480"/>
        <w:jc w:val="left"/>
        <w:rPr>
          <w:rFonts w:cs="宋体" w:asciiTheme="minorEastAsia" w:hAnsiTheme="minorEastAsia" w:eastAsiaTheme="minorEastAsia"/>
          <w:b/>
          <w:color w:val="000000"/>
          <w:kern w:val="0"/>
          <w:sz w:val="24"/>
        </w:rPr>
      </w:pPr>
      <w:r>
        <w:rPr>
          <w:rFonts w:hint="eastAsia" w:cs="宋体" w:asciiTheme="minorEastAsia" w:hAnsiTheme="minorEastAsia" w:eastAsiaTheme="minorEastAsia"/>
          <w:b/>
          <w:color w:val="000000"/>
          <w:kern w:val="0"/>
          <w:sz w:val="24"/>
        </w:rPr>
        <w:t>四、风险提示</w:t>
      </w:r>
    </w:p>
    <w:p>
      <w:pPr>
        <w:widowControl/>
        <w:spacing w:line="360" w:lineRule="auto"/>
        <w:ind w:firstLine="480"/>
        <w:jc w:val="left"/>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截至本公告披露日，公司不存在影响本次业绩预告内容准确性的不确定因素。</w:t>
      </w:r>
    </w:p>
    <w:p>
      <w:pPr>
        <w:widowControl/>
        <w:spacing w:line="360" w:lineRule="auto"/>
        <w:ind w:firstLine="480"/>
        <w:jc w:val="left"/>
        <w:rPr>
          <w:rFonts w:ascii="宋体" w:hAnsi="宋体" w:cs="宋体"/>
          <w:kern w:val="0"/>
          <w:sz w:val="24"/>
        </w:rPr>
      </w:pPr>
    </w:p>
    <w:p>
      <w:pPr>
        <w:widowControl/>
        <w:spacing w:line="360" w:lineRule="auto"/>
        <w:ind w:firstLine="480"/>
        <w:jc w:val="left"/>
        <w:rPr>
          <w:rFonts w:cs="宋体" w:asciiTheme="minorEastAsia" w:hAnsiTheme="minorEastAsia" w:eastAsiaTheme="minorEastAsia"/>
          <w:b/>
          <w:color w:val="000000"/>
          <w:kern w:val="0"/>
          <w:sz w:val="24"/>
        </w:rPr>
      </w:pPr>
      <w:r>
        <w:rPr>
          <w:rFonts w:hint="eastAsia" w:cs="宋体" w:asciiTheme="minorEastAsia" w:hAnsiTheme="minorEastAsia" w:eastAsiaTheme="minorEastAsia"/>
          <w:b/>
          <w:color w:val="000000"/>
          <w:kern w:val="0"/>
          <w:sz w:val="24"/>
        </w:rPr>
        <w:t>五、其他说明事项</w:t>
      </w:r>
    </w:p>
    <w:p>
      <w:pPr>
        <w:widowControl/>
        <w:spacing w:line="360" w:lineRule="auto"/>
        <w:ind w:firstLine="480"/>
        <w:jc w:val="left"/>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以上预告数据仅为初步核算数据，具体准确的财务数据以公司正式披露的2023年度报告为准，敬请广大投资者注意投资风险。</w:t>
      </w:r>
    </w:p>
    <w:p>
      <w:pPr>
        <w:widowControl/>
        <w:spacing w:line="360" w:lineRule="auto"/>
        <w:ind w:firstLine="480"/>
        <w:jc w:val="left"/>
        <w:rPr>
          <w:rFonts w:cs="宋体" w:asciiTheme="minorEastAsia" w:hAnsiTheme="minorEastAsia" w:eastAsiaTheme="minorEastAsia"/>
          <w:color w:val="000000"/>
          <w:kern w:val="0"/>
          <w:sz w:val="24"/>
        </w:rPr>
      </w:pPr>
    </w:p>
    <w:p>
      <w:pPr>
        <w:widowControl/>
        <w:spacing w:line="360" w:lineRule="auto"/>
        <w:ind w:firstLine="480" w:firstLineChars="200"/>
        <w:jc w:val="left"/>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特此公告。</w:t>
      </w:r>
    </w:p>
    <w:p>
      <w:pPr>
        <w:widowControl/>
        <w:spacing w:line="360" w:lineRule="auto"/>
        <w:ind w:firstLine="480" w:firstLineChars="200"/>
        <w:jc w:val="left"/>
        <w:rPr>
          <w:rFonts w:cs="宋体" w:asciiTheme="minorEastAsia" w:hAnsiTheme="minorEastAsia" w:eastAsiaTheme="minorEastAsia"/>
          <w:color w:val="000000"/>
          <w:kern w:val="0"/>
          <w:sz w:val="24"/>
        </w:rPr>
      </w:pPr>
    </w:p>
    <w:p>
      <w:pPr>
        <w:spacing w:line="360" w:lineRule="auto"/>
        <w:ind w:firstLine="4320" w:firstLineChars="1800"/>
        <w:jc w:val="right"/>
        <w:rPr>
          <w:rFonts w:ascii="宋体" w:hAnsi="宋体"/>
          <w:sz w:val="24"/>
        </w:rPr>
      </w:pPr>
    </w:p>
    <w:p>
      <w:pPr>
        <w:spacing w:line="360" w:lineRule="auto"/>
        <w:ind w:firstLine="4320" w:firstLineChars="1800"/>
        <w:jc w:val="right"/>
        <w:rPr>
          <w:rFonts w:ascii="宋体" w:hAnsi="宋体"/>
          <w:sz w:val="24"/>
        </w:rPr>
      </w:pPr>
      <w:r>
        <w:rPr>
          <w:rFonts w:hint="eastAsia" w:ascii="宋体" w:hAnsi="宋体"/>
          <w:sz w:val="24"/>
        </w:rPr>
        <w:t>江苏吴中医药发展股份有限公司</w:t>
      </w:r>
    </w:p>
    <w:p>
      <w:pPr>
        <w:spacing w:line="360" w:lineRule="auto"/>
        <w:ind w:right="1200" w:firstLine="4320" w:firstLineChars="1800"/>
        <w:jc w:val="center"/>
        <w:rPr>
          <w:rFonts w:ascii="宋体" w:hAnsi="宋体"/>
          <w:sz w:val="24"/>
        </w:rPr>
      </w:pPr>
      <w:r>
        <w:rPr>
          <w:rFonts w:hint="eastAsia" w:ascii="宋体" w:hAnsi="宋体"/>
          <w:sz w:val="24"/>
        </w:rPr>
        <w:t xml:space="preserve">                 董事会 </w:t>
      </w:r>
    </w:p>
    <w:p>
      <w:pPr>
        <w:wordWrap w:val="0"/>
        <w:spacing w:line="360" w:lineRule="auto"/>
        <w:ind w:firstLine="4320" w:firstLineChars="1800"/>
        <w:jc w:val="right"/>
        <w:rPr>
          <w:rFonts w:ascii="宋体" w:hAnsi="宋体"/>
          <w:sz w:val="24"/>
        </w:rPr>
      </w:pPr>
      <w:r>
        <w:rPr>
          <w:rFonts w:hint="eastAsia" w:ascii="宋体" w:hAnsi="宋体"/>
          <w:sz w:val="24"/>
        </w:rPr>
        <w:t>2024年1月</w:t>
      </w:r>
      <w:r>
        <w:rPr>
          <w:rFonts w:hint="eastAsia" w:ascii="宋体" w:hAnsi="宋体"/>
          <w:sz w:val="24"/>
          <w:lang w:val="en-US" w:eastAsia="zh-CN"/>
        </w:rPr>
        <w:t>31</w:t>
      </w:r>
      <w:r>
        <w:rPr>
          <w:rFonts w:hint="eastAsia" w:ascii="宋体" w:hAnsi="宋体"/>
          <w:sz w:val="24"/>
        </w:rPr>
        <w:t xml:space="preserve">日      </w:t>
      </w:r>
    </w:p>
    <w:p>
      <w:pPr>
        <w:spacing w:line="360" w:lineRule="auto"/>
        <w:ind w:right="480" w:firstLine="5220" w:firstLineChars="2175"/>
        <w:jc w:val="center"/>
      </w:pPr>
      <w:r>
        <w:rPr>
          <w:rFonts w:hint="eastAsia" w:ascii="宋体" w:hAnsi="宋体"/>
          <w:sz w:val="24"/>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等线"/>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335A89"/>
    <w:multiLevelType w:val="multilevel"/>
    <w:tmpl w:val="25335A89"/>
    <w:lvl w:ilvl="0" w:tentative="0">
      <w:start w:val="1"/>
      <w:numFmt w:val="bullet"/>
      <w:lvlText w:val=""/>
      <w:lvlJc w:val="left"/>
      <w:pPr>
        <w:ind w:left="888" w:hanging="420"/>
      </w:pPr>
      <w:rPr>
        <w:rFonts w:hint="default" w:ascii="Wingdings" w:hAnsi="Wingdings"/>
      </w:rPr>
    </w:lvl>
    <w:lvl w:ilvl="1" w:tentative="0">
      <w:start w:val="1"/>
      <w:numFmt w:val="bullet"/>
      <w:lvlText w:val=""/>
      <w:lvlJc w:val="left"/>
      <w:pPr>
        <w:ind w:left="1308" w:hanging="420"/>
      </w:pPr>
      <w:rPr>
        <w:rFonts w:hint="default" w:ascii="Wingdings" w:hAnsi="Wingdings"/>
      </w:rPr>
    </w:lvl>
    <w:lvl w:ilvl="2" w:tentative="0">
      <w:start w:val="1"/>
      <w:numFmt w:val="bullet"/>
      <w:lvlText w:val=""/>
      <w:lvlJc w:val="left"/>
      <w:pPr>
        <w:ind w:left="1728" w:hanging="420"/>
      </w:pPr>
      <w:rPr>
        <w:rFonts w:hint="default" w:ascii="Wingdings" w:hAnsi="Wingdings"/>
      </w:rPr>
    </w:lvl>
    <w:lvl w:ilvl="3" w:tentative="0">
      <w:start w:val="1"/>
      <w:numFmt w:val="bullet"/>
      <w:lvlText w:val=""/>
      <w:lvlJc w:val="left"/>
      <w:pPr>
        <w:ind w:left="2148" w:hanging="420"/>
      </w:pPr>
      <w:rPr>
        <w:rFonts w:hint="default" w:ascii="Wingdings" w:hAnsi="Wingdings"/>
      </w:rPr>
    </w:lvl>
    <w:lvl w:ilvl="4" w:tentative="0">
      <w:start w:val="1"/>
      <w:numFmt w:val="bullet"/>
      <w:lvlText w:val=""/>
      <w:lvlJc w:val="left"/>
      <w:pPr>
        <w:ind w:left="2568" w:hanging="420"/>
      </w:pPr>
      <w:rPr>
        <w:rFonts w:hint="default" w:ascii="Wingdings" w:hAnsi="Wingdings"/>
      </w:rPr>
    </w:lvl>
    <w:lvl w:ilvl="5" w:tentative="0">
      <w:start w:val="1"/>
      <w:numFmt w:val="bullet"/>
      <w:lvlText w:val=""/>
      <w:lvlJc w:val="left"/>
      <w:pPr>
        <w:ind w:left="2988" w:hanging="420"/>
      </w:pPr>
      <w:rPr>
        <w:rFonts w:hint="default" w:ascii="Wingdings" w:hAnsi="Wingdings"/>
      </w:rPr>
    </w:lvl>
    <w:lvl w:ilvl="6" w:tentative="0">
      <w:start w:val="1"/>
      <w:numFmt w:val="bullet"/>
      <w:lvlText w:val=""/>
      <w:lvlJc w:val="left"/>
      <w:pPr>
        <w:ind w:left="3408" w:hanging="420"/>
      </w:pPr>
      <w:rPr>
        <w:rFonts w:hint="default" w:ascii="Wingdings" w:hAnsi="Wingdings"/>
      </w:rPr>
    </w:lvl>
    <w:lvl w:ilvl="7" w:tentative="0">
      <w:start w:val="1"/>
      <w:numFmt w:val="bullet"/>
      <w:lvlText w:val=""/>
      <w:lvlJc w:val="left"/>
      <w:pPr>
        <w:ind w:left="3828" w:hanging="420"/>
      </w:pPr>
      <w:rPr>
        <w:rFonts w:hint="default" w:ascii="Wingdings" w:hAnsi="Wingdings"/>
      </w:rPr>
    </w:lvl>
    <w:lvl w:ilvl="8" w:tentative="0">
      <w:start w:val="1"/>
      <w:numFmt w:val="bullet"/>
      <w:lvlText w:val=""/>
      <w:lvlJc w:val="left"/>
      <w:pPr>
        <w:ind w:left="4248"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iNjFmNzExYjIxOGZkYmIzZDZjMzU4MDM2MDNkODEifQ=="/>
  </w:docVars>
  <w:rsids>
    <w:rsidRoot w:val="00A009BD"/>
    <w:rsid w:val="00003634"/>
    <w:rsid w:val="00004704"/>
    <w:rsid w:val="000052DC"/>
    <w:rsid w:val="0001153F"/>
    <w:rsid w:val="00014AE5"/>
    <w:rsid w:val="00015559"/>
    <w:rsid w:val="0003171D"/>
    <w:rsid w:val="00034EAF"/>
    <w:rsid w:val="000377FA"/>
    <w:rsid w:val="00037B42"/>
    <w:rsid w:val="00050069"/>
    <w:rsid w:val="000514F9"/>
    <w:rsid w:val="00054AB4"/>
    <w:rsid w:val="00055DC4"/>
    <w:rsid w:val="00060AD4"/>
    <w:rsid w:val="0007113B"/>
    <w:rsid w:val="00077985"/>
    <w:rsid w:val="00084BC3"/>
    <w:rsid w:val="0009559D"/>
    <w:rsid w:val="000A14CC"/>
    <w:rsid w:val="000C1EBF"/>
    <w:rsid w:val="000D5160"/>
    <w:rsid w:val="000D59A8"/>
    <w:rsid w:val="000E2525"/>
    <w:rsid w:val="000E33DE"/>
    <w:rsid w:val="000E5928"/>
    <w:rsid w:val="000E7F53"/>
    <w:rsid w:val="000F4B47"/>
    <w:rsid w:val="00101299"/>
    <w:rsid w:val="001044FC"/>
    <w:rsid w:val="00115DE0"/>
    <w:rsid w:val="00125BE8"/>
    <w:rsid w:val="00125EB5"/>
    <w:rsid w:val="001302DF"/>
    <w:rsid w:val="00135EF3"/>
    <w:rsid w:val="00141A30"/>
    <w:rsid w:val="0014235B"/>
    <w:rsid w:val="001449C0"/>
    <w:rsid w:val="00151157"/>
    <w:rsid w:val="00163205"/>
    <w:rsid w:val="00167B35"/>
    <w:rsid w:val="00173650"/>
    <w:rsid w:val="00173BB6"/>
    <w:rsid w:val="001741A0"/>
    <w:rsid w:val="00184711"/>
    <w:rsid w:val="00190F6C"/>
    <w:rsid w:val="00194544"/>
    <w:rsid w:val="001A36D5"/>
    <w:rsid w:val="001A69DA"/>
    <w:rsid w:val="001A6F91"/>
    <w:rsid w:val="001C16DA"/>
    <w:rsid w:val="001D0721"/>
    <w:rsid w:val="001D198B"/>
    <w:rsid w:val="001E39C4"/>
    <w:rsid w:val="001E49FF"/>
    <w:rsid w:val="001E57CA"/>
    <w:rsid w:val="001F02C0"/>
    <w:rsid w:val="001F698F"/>
    <w:rsid w:val="00201E57"/>
    <w:rsid w:val="00204DB0"/>
    <w:rsid w:val="002101B8"/>
    <w:rsid w:val="002127B8"/>
    <w:rsid w:val="00227A64"/>
    <w:rsid w:val="0023086A"/>
    <w:rsid w:val="002339D0"/>
    <w:rsid w:val="002343EA"/>
    <w:rsid w:val="002442A3"/>
    <w:rsid w:val="002473AD"/>
    <w:rsid w:val="00251C73"/>
    <w:rsid w:val="00256018"/>
    <w:rsid w:val="002561CC"/>
    <w:rsid w:val="0025726D"/>
    <w:rsid w:val="0025795B"/>
    <w:rsid w:val="00266464"/>
    <w:rsid w:val="00270486"/>
    <w:rsid w:val="0027220C"/>
    <w:rsid w:val="0027413C"/>
    <w:rsid w:val="0027469E"/>
    <w:rsid w:val="002778FD"/>
    <w:rsid w:val="00277AAE"/>
    <w:rsid w:val="002808AB"/>
    <w:rsid w:val="00284CD2"/>
    <w:rsid w:val="00285080"/>
    <w:rsid w:val="00297F43"/>
    <w:rsid w:val="002A1B60"/>
    <w:rsid w:val="002B5713"/>
    <w:rsid w:val="002B7CCB"/>
    <w:rsid w:val="002C43B8"/>
    <w:rsid w:val="002C45E5"/>
    <w:rsid w:val="002C71E7"/>
    <w:rsid w:val="002D1D9B"/>
    <w:rsid w:val="002D2369"/>
    <w:rsid w:val="002D4C8C"/>
    <w:rsid w:val="002D65CF"/>
    <w:rsid w:val="002F64AF"/>
    <w:rsid w:val="002F68F7"/>
    <w:rsid w:val="002F74DC"/>
    <w:rsid w:val="0030503B"/>
    <w:rsid w:val="00324EB8"/>
    <w:rsid w:val="003307ED"/>
    <w:rsid w:val="003334F6"/>
    <w:rsid w:val="0033665B"/>
    <w:rsid w:val="003402E8"/>
    <w:rsid w:val="00342CB6"/>
    <w:rsid w:val="00353BA1"/>
    <w:rsid w:val="00360937"/>
    <w:rsid w:val="00363847"/>
    <w:rsid w:val="0036422B"/>
    <w:rsid w:val="003657D5"/>
    <w:rsid w:val="00367CCA"/>
    <w:rsid w:val="0037324C"/>
    <w:rsid w:val="00373349"/>
    <w:rsid w:val="0038210C"/>
    <w:rsid w:val="003870CC"/>
    <w:rsid w:val="003A1590"/>
    <w:rsid w:val="003A3996"/>
    <w:rsid w:val="003B1D84"/>
    <w:rsid w:val="003B5345"/>
    <w:rsid w:val="003C607D"/>
    <w:rsid w:val="003D0C3B"/>
    <w:rsid w:val="003D3FFF"/>
    <w:rsid w:val="003D798A"/>
    <w:rsid w:val="003E2FD2"/>
    <w:rsid w:val="003E355B"/>
    <w:rsid w:val="003F5DA1"/>
    <w:rsid w:val="00410015"/>
    <w:rsid w:val="00417107"/>
    <w:rsid w:val="0041720E"/>
    <w:rsid w:val="0042410C"/>
    <w:rsid w:val="004374BE"/>
    <w:rsid w:val="0044127B"/>
    <w:rsid w:val="00444265"/>
    <w:rsid w:val="0044449E"/>
    <w:rsid w:val="004502F4"/>
    <w:rsid w:val="004667F2"/>
    <w:rsid w:val="00475AC0"/>
    <w:rsid w:val="004958E0"/>
    <w:rsid w:val="00496E8A"/>
    <w:rsid w:val="004A41EF"/>
    <w:rsid w:val="004A44DF"/>
    <w:rsid w:val="004B0428"/>
    <w:rsid w:val="004B70B1"/>
    <w:rsid w:val="004B7E3E"/>
    <w:rsid w:val="004C0C76"/>
    <w:rsid w:val="004C27B9"/>
    <w:rsid w:val="004C3A3E"/>
    <w:rsid w:val="004C3DB4"/>
    <w:rsid w:val="004D2BA0"/>
    <w:rsid w:val="004E363D"/>
    <w:rsid w:val="004F1ED6"/>
    <w:rsid w:val="004F1F15"/>
    <w:rsid w:val="004F65E5"/>
    <w:rsid w:val="005014D1"/>
    <w:rsid w:val="00507FDE"/>
    <w:rsid w:val="00517BE0"/>
    <w:rsid w:val="00517C61"/>
    <w:rsid w:val="005216F4"/>
    <w:rsid w:val="0054211F"/>
    <w:rsid w:val="00542DA0"/>
    <w:rsid w:val="0054311D"/>
    <w:rsid w:val="005477DA"/>
    <w:rsid w:val="005542A7"/>
    <w:rsid w:val="00555131"/>
    <w:rsid w:val="00557690"/>
    <w:rsid w:val="0056568B"/>
    <w:rsid w:val="005712CB"/>
    <w:rsid w:val="00572AC7"/>
    <w:rsid w:val="00572D96"/>
    <w:rsid w:val="005737FA"/>
    <w:rsid w:val="00577CBB"/>
    <w:rsid w:val="00580E39"/>
    <w:rsid w:val="00591636"/>
    <w:rsid w:val="005B4F18"/>
    <w:rsid w:val="005C3668"/>
    <w:rsid w:val="005D417A"/>
    <w:rsid w:val="005D4ACB"/>
    <w:rsid w:val="005D5EDA"/>
    <w:rsid w:val="005E4AFF"/>
    <w:rsid w:val="005F0AEF"/>
    <w:rsid w:val="005F50CD"/>
    <w:rsid w:val="005F7B0B"/>
    <w:rsid w:val="00606509"/>
    <w:rsid w:val="00611B59"/>
    <w:rsid w:val="00615D49"/>
    <w:rsid w:val="006225A3"/>
    <w:rsid w:val="0062719F"/>
    <w:rsid w:val="006412D7"/>
    <w:rsid w:val="006446F0"/>
    <w:rsid w:val="00645C77"/>
    <w:rsid w:val="00647683"/>
    <w:rsid w:val="00660600"/>
    <w:rsid w:val="00662769"/>
    <w:rsid w:val="00663516"/>
    <w:rsid w:val="00664704"/>
    <w:rsid w:val="0067327D"/>
    <w:rsid w:val="0067661A"/>
    <w:rsid w:val="00682D83"/>
    <w:rsid w:val="00683AED"/>
    <w:rsid w:val="00683FC9"/>
    <w:rsid w:val="0069424B"/>
    <w:rsid w:val="00695D72"/>
    <w:rsid w:val="006A1A8F"/>
    <w:rsid w:val="006A4EA1"/>
    <w:rsid w:val="006B29CA"/>
    <w:rsid w:val="006B2B65"/>
    <w:rsid w:val="006B7491"/>
    <w:rsid w:val="006C1D25"/>
    <w:rsid w:val="006D6128"/>
    <w:rsid w:val="006E12CC"/>
    <w:rsid w:val="006F2C88"/>
    <w:rsid w:val="007001F0"/>
    <w:rsid w:val="007014FC"/>
    <w:rsid w:val="00712B2A"/>
    <w:rsid w:val="007230C3"/>
    <w:rsid w:val="0075060C"/>
    <w:rsid w:val="007564B5"/>
    <w:rsid w:val="0076676A"/>
    <w:rsid w:val="00766EEB"/>
    <w:rsid w:val="00772A33"/>
    <w:rsid w:val="007826E8"/>
    <w:rsid w:val="007855B1"/>
    <w:rsid w:val="0078609E"/>
    <w:rsid w:val="007918EE"/>
    <w:rsid w:val="00797548"/>
    <w:rsid w:val="007A1575"/>
    <w:rsid w:val="007C0761"/>
    <w:rsid w:val="007C79A9"/>
    <w:rsid w:val="007C7BAF"/>
    <w:rsid w:val="007E3476"/>
    <w:rsid w:val="00802A0A"/>
    <w:rsid w:val="008051A9"/>
    <w:rsid w:val="008051F9"/>
    <w:rsid w:val="00824AB0"/>
    <w:rsid w:val="008378DC"/>
    <w:rsid w:val="00837AFB"/>
    <w:rsid w:val="008412C9"/>
    <w:rsid w:val="00887DA0"/>
    <w:rsid w:val="00893296"/>
    <w:rsid w:val="008935D4"/>
    <w:rsid w:val="008A72B1"/>
    <w:rsid w:val="008B3703"/>
    <w:rsid w:val="008B3DD4"/>
    <w:rsid w:val="008B43ED"/>
    <w:rsid w:val="008B4735"/>
    <w:rsid w:val="008B5B30"/>
    <w:rsid w:val="008B6235"/>
    <w:rsid w:val="008C0E07"/>
    <w:rsid w:val="008E2C48"/>
    <w:rsid w:val="008E57CC"/>
    <w:rsid w:val="008F2EC5"/>
    <w:rsid w:val="008F5155"/>
    <w:rsid w:val="008F6AB5"/>
    <w:rsid w:val="00907488"/>
    <w:rsid w:val="0091209A"/>
    <w:rsid w:val="00933FA5"/>
    <w:rsid w:val="00934104"/>
    <w:rsid w:val="009440E4"/>
    <w:rsid w:val="0094672C"/>
    <w:rsid w:val="00955A3F"/>
    <w:rsid w:val="00960430"/>
    <w:rsid w:val="00967AA4"/>
    <w:rsid w:val="00972218"/>
    <w:rsid w:val="009841CB"/>
    <w:rsid w:val="00995DC5"/>
    <w:rsid w:val="009E1FA0"/>
    <w:rsid w:val="009E3014"/>
    <w:rsid w:val="009E66F9"/>
    <w:rsid w:val="009F0BB3"/>
    <w:rsid w:val="00A009BD"/>
    <w:rsid w:val="00A05A16"/>
    <w:rsid w:val="00A06832"/>
    <w:rsid w:val="00A1341B"/>
    <w:rsid w:val="00A13AC5"/>
    <w:rsid w:val="00A1423D"/>
    <w:rsid w:val="00A204FB"/>
    <w:rsid w:val="00A205C1"/>
    <w:rsid w:val="00A206E4"/>
    <w:rsid w:val="00A21CA0"/>
    <w:rsid w:val="00A267F9"/>
    <w:rsid w:val="00A31603"/>
    <w:rsid w:val="00A34683"/>
    <w:rsid w:val="00A36051"/>
    <w:rsid w:val="00A37C3C"/>
    <w:rsid w:val="00A42891"/>
    <w:rsid w:val="00A4743B"/>
    <w:rsid w:val="00A51FF0"/>
    <w:rsid w:val="00A6149B"/>
    <w:rsid w:val="00A72475"/>
    <w:rsid w:val="00A80839"/>
    <w:rsid w:val="00A842DF"/>
    <w:rsid w:val="00A950B9"/>
    <w:rsid w:val="00A973BC"/>
    <w:rsid w:val="00AA10D4"/>
    <w:rsid w:val="00AA706B"/>
    <w:rsid w:val="00AB0CFB"/>
    <w:rsid w:val="00AB15F8"/>
    <w:rsid w:val="00AB2664"/>
    <w:rsid w:val="00AB53AC"/>
    <w:rsid w:val="00AB6C97"/>
    <w:rsid w:val="00AC11D0"/>
    <w:rsid w:val="00AC7ABF"/>
    <w:rsid w:val="00AD0003"/>
    <w:rsid w:val="00AD7DEB"/>
    <w:rsid w:val="00AE30A2"/>
    <w:rsid w:val="00AF45BF"/>
    <w:rsid w:val="00AF476E"/>
    <w:rsid w:val="00B03668"/>
    <w:rsid w:val="00B06217"/>
    <w:rsid w:val="00B07E79"/>
    <w:rsid w:val="00B11E86"/>
    <w:rsid w:val="00B17AF8"/>
    <w:rsid w:val="00B27494"/>
    <w:rsid w:val="00B31A8D"/>
    <w:rsid w:val="00B32D2C"/>
    <w:rsid w:val="00B34FA7"/>
    <w:rsid w:val="00B369BE"/>
    <w:rsid w:val="00B40795"/>
    <w:rsid w:val="00B40E4D"/>
    <w:rsid w:val="00B52013"/>
    <w:rsid w:val="00B57C2F"/>
    <w:rsid w:val="00B83882"/>
    <w:rsid w:val="00B83EF8"/>
    <w:rsid w:val="00B87AB6"/>
    <w:rsid w:val="00B929E0"/>
    <w:rsid w:val="00BA1EF6"/>
    <w:rsid w:val="00BA46C7"/>
    <w:rsid w:val="00BB5C59"/>
    <w:rsid w:val="00BB5E17"/>
    <w:rsid w:val="00BB5F62"/>
    <w:rsid w:val="00BC7D27"/>
    <w:rsid w:val="00BE0A0A"/>
    <w:rsid w:val="00BE168A"/>
    <w:rsid w:val="00BE7989"/>
    <w:rsid w:val="00BF5380"/>
    <w:rsid w:val="00BF68F7"/>
    <w:rsid w:val="00C015E0"/>
    <w:rsid w:val="00C01D90"/>
    <w:rsid w:val="00C1036D"/>
    <w:rsid w:val="00C14435"/>
    <w:rsid w:val="00C209AA"/>
    <w:rsid w:val="00C20B2B"/>
    <w:rsid w:val="00C37A71"/>
    <w:rsid w:val="00C442D1"/>
    <w:rsid w:val="00C51C5F"/>
    <w:rsid w:val="00C62BAA"/>
    <w:rsid w:val="00C65924"/>
    <w:rsid w:val="00C66833"/>
    <w:rsid w:val="00C66A20"/>
    <w:rsid w:val="00C6792D"/>
    <w:rsid w:val="00C71DAA"/>
    <w:rsid w:val="00C745A9"/>
    <w:rsid w:val="00C770B6"/>
    <w:rsid w:val="00C77455"/>
    <w:rsid w:val="00C77936"/>
    <w:rsid w:val="00C77C63"/>
    <w:rsid w:val="00C8490D"/>
    <w:rsid w:val="00C84E9B"/>
    <w:rsid w:val="00C875F5"/>
    <w:rsid w:val="00C9289C"/>
    <w:rsid w:val="00CA1004"/>
    <w:rsid w:val="00CB2DCE"/>
    <w:rsid w:val="00CC65AD"/>
    <w:rsid w:val="00CC7C0B"/>
    <w:rsid w:val="00CD2A4D"/>
    <w:rsid w:val="00CD44DC"/>
    <w:rsid w:val="00CD5891"/>
    <w:rsid w:val="00CD607E"/>
    <w:rsid w:val="00CD6EAB"/>
    <w:rsid w:val="00CD7F62"/>
    <w:rsid w:val="00CE3B3D"/>
    <w:rsid w:val="00CE4D8A"/>
    <w:rsid w:val="00CF2676"/>
    <w:rsid w:val="00CF42BE"/>
    <w:rsid w:val="00CF7E7A"/>
    <w:rsid w:val="00D0156B"/>
    <w:rsid w:val="00D04CBB"/>
    <w:rsid w:val="00D05E2F"/>
    <w:rsid w:val="00D141A5"/>
    <w:rsid w:val="00D21B8D"/>
    <w:rsid w:val="00D24824"/>
    <w:rsid w:val="00D26D15"/>
    <w:rsid w:val="00D3212E"/>
    <w:rsid w:val="00D42767"/>
    <w:rsid w:val="00D431AD"/>
    <w:rsid w:val="00D45281"/>
    <w:rsid w:val="00D53DC4"/>
    <w:rsid w:val="00D601FE"/>
    <w:rsid w:val="00D6753A"/>
    <w:rsid w:val="00D7040A"/>
    <w:rsid w:val="00D71559"/>
    <w:rsid w:val="00D73864"/>
    <w:rsid w:val="00D77523"/>
    <w:rsid w:val="00D819D3"/>
    <w:rsid w:val="00D86A2F"/>
    <w:rsid w:val="00D909E7"/>
    <w:rsid w:val="00D90BC6"/>
    <w:rsid w:val="00D92B06"/>
    <w:rsid w:val="00D9452A"/>
    <w:rsid w:val="00DC0757"/>
    <w:rsid w:val="00DC1510"/>
    <w:rsid w:val="00DC6A0F"/>
    <w:rsid w:val="00DD409A"/>
    <w:rsid w:val="00DE24B3"/>
    <w:rsid w:val="00DE3893"/>
    <w:rsid w:val="00DE4805"/>
    <w:rsid w:val="00DF08C9"/>
    <w:rsid w:val="00E003D0"/>
    <w:rsid w:val="00E025CD"/>
    <w:rsid w:val="00E05034"/>
    <w:rsid w:val="00E14AD6"/>
    <w:rsid w:val="00E220DE"/>
    <w:rsid w:val="00E2613B"/>
    <w:rsid w:val="00E26F68"/>
    <w:rsid w:val="00E30EA1"/>
    <w:rsid w:val="00E31233"/>
    <w:rsid w:val="00E373CB"/>
    <w:rsid w:val="00E4508D"/>
    <w:rsid w:val="00E521FA"/>
    <w:rsid w:val="00E55042"/>
    <w:rsid w:val="00E6168C"/>
    <w:rsid w:val="00E62058"/>
    <w:rsid w:val="00E630D0"/>
    <w:rsid w:val="00E74755"/>
    <w:rsid w:val="00E74BCC"/>
    <w:rsid w:val="00E74E4D"/>
    <w:rsid w:val="00E77D37"/>
    <w:rsid w:val="00E81D6C"/>
    <w:rsid w:val="00E90C0B"/>
    <w:rsid w:val="00E915EA"/>
    <w:rsid w:val="00E9529E"/>
    <w:rsid w:val="00E96761"/>
    <w:rsid w:val="00E97E93"/>
    <w:rsid w:val="00EA6444"/>
    <w:rsid w:val="00EB0FB2"/>
    <w:rsid w:val="00EB5658"/>
    <w:rsid w:val="00EB7FBA"/>
    <w:rsid w:val="00ED4428"/>
    <w:rsid w:val="00ED6800"/>
    <w:rsid w:val="00EE1637"/>
    <w:rsid w:val="00EF67AA"/>
    <w:rsid w:val="00EF77B8"/>
    <w:rsid w:val="00F03FA2"/>
    <w:rsid w:val="00F07A0E"/>
    <w:rsid w:val="00F11687"/>
    <w:rsid w:val="00F12677"/>
    <w:rsid w:val="00F13C59"/>
    <w:rsid w:val="00F161EE"/>
    <w:rsid w:val="00F168FB"/>
    <w:rsid w:val="00F20DD1"/>
    <w:rsid w:val="00F21312"/>
    <w:rsid w:val="00F23D77"/>
    <w:rsid w:val="00F25681"/>
    <w:rsid w:val="00F3504C"/>
    <w:rsid w:val="00F41B3B"/>
    <w:rsid w:val="00F43502"/>
    <w:rsid w:val="00F642E6"/>
    <w:rsid w:val="00F75621"/>
    <w:rsid w:val="00F75B8D"/>
    <w:rsid w:val="00F7601B"/>
    <w:rsid w:val="00F84401"/>
    <w:rsid w:val="00F92A30"/>
    <w:rsid w:val="00F950E7"/>
    <w:rsid w:val="00FA5496"/>
    <w:rsid w:val="00FB3375"/>
    <w:rsid w:val="00FB56C5"/>
    <w:rsid w:val="00FB79DD"/>
    <w:rsid w:val="00FC49C6"/>
    <w:rsid w:val="00FD17D4"/>
    <w:rsid w:val="00FD212D"/>
    <w:rsid w:val="00FE4FBE"/>
    <w:rsid w:val="00FE57F0"/>
    <w:rsid w:val="00FE5ACA"/>
    <w:rsid w:val="00FF4417"/>
    <w:rsid w:val="0580185D"/>
    <w:rsid w:val="219F63D1"/>
    <w:rsid w:val="2A2B4768"/>
    <w:rsid w:val="2A6308E4"/>
    <w:rsid w:val="2B404781"/>
    <w:rsid w:val="2CD01F6C"/>
    <w:rsid w:val="2FEC3129"/>
    <w:rsid w:val="36291055"/>
    <w:rsid w:val="3700570C"/>
    <w:rsid w:val="3ED731F7"/>
    <w:rsid w:val="499757E3"/>
    <w:rsid w:val="60D96503"/>
    <w:rsid w:val="632048BD"/>
    <w:rsid w:val="77CC403F"/>
    <w:rsid w:val="7F721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autoRedefine/>
    <w:qFormat/>
    <w:uiPriority w:val="34"/>
    <w:pPr>
      <w:ind w:firstLine="420" w:firstLineChars="200"/>
    </w:pPr>
  </w:style>
  <w:style w:type="character" w:customStyle="1" w:styleId="7">
    <w:name w:val="页眉 字符"/>
    <w:basedOn w:val="5"/>
    <w:link w:val="3"/>
    <w:autoRedefine/>
    <w:qFormat/>
    <w:uiPriority w:val="99"/>
    <w:rPr>
      <w:rFonts w:ascii="Times New Roman" w:hAnsi="Times New Roman" w:eastAsia="宋体" w:cs="Times New Roman"/>
      <w:sz w:val="18"/>
      <w:szCs w:val="18"/>
    </w:rPr>
  </w:style>
  <w:style w:type="character" w:customStyle="1" w:styleId="8">
    <w:name w:val="页脚 字符"/>
    <w:basedOn w:val="5"/>
    <w:link w:val="2"/>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129</Words>
  <Characters>740</Characters>
  <Lines>6</Lines>
  <Paragraphs>1</Paragraphs>
  <TotalTime>2</TotalTime>
  <ScaleCrop>false</ScaleCrop>
  <LinksUpToDate>false</LinksUpToDate>
  <CharactersWithSpaces>868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2024-01-30T01:03:00Z</dcterms:created>
  <dc:creator>李锐</dc:creator>
  <cp:lastModifiedBy>王雅杰</cp:lastModifiedBy>
  <cp:lastPrinted>2022-07-14T07:09:00Z</cp:lastPrinted>
  <dcterms:modified xsi:type="dcterms:W3CDTF">2024-01-30T03:29:33Z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611DF3C3592041A08271AB8D49C86DA4</vt:lpwstr>
  </property>
</Properties>
</file>