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60" w:lineRule="auto"/>
        <w:rPr>
          <w:rFonts w:hint="default" w:ascii="宋体" w:hAnsi="宋体" w:eastAsia="宋体" w:cs="Arial"/>
          <w:kern w:val="0"/>
          <w:sz w:val="24"/>
          <w:lang w:val="en-US" w:eastAsia="zh-CN"/>
        </w:rPr>
      </w:pPr>
      <w:r>
        <w:rPr>
          <w:rFonts w:hint="eastAsia" w:ascii="宋体" w:hAnsi="宋体" w:cs="宋体"/>
          <w:kern w:val="0"/>
          <w:sz w:val="24"/>
        </w:rPr>
        <w:t>证券代码：</w:t>
      </w:r>
      <w:r>
        <w:rPr>
          <w:rFonts w:ascii="宋体" w:hAnsi="宋体" w:cs="Arial"/>
          <w:kern w:val="0"/>
          <w:sz w:val="24"/>
        </w:rPr>
        <w:t>600</w:t>
      </w:r>
      <w:r>
        <w:rPr>
          <w:rFonts w:hint="eastAsia" w:ascii="宋体" w:hAnsi="宋体" w:cs="Arial"/>
          <w:kern w:val="0"/>
          <w:sz w:val="24"/>
        </w:rPr>
        <w:t xml:space="preserve">200  </w:t>
      </w:r>
      <w:r>
        <w:rPr>
          <w:rFonts w:ascii="宋体" w:hAnsi="宋体" w:cs="Arial"/>
          <w:kern w:val="0"/>
          <w:sz w:val="24"/>
        </w:rPr>
        <w:t xml:space="preserve"> </w:t>
      </w:r>
      <w:r>
        <w:rPr>
          <w:rFonts w:hint="eastAsia" w:ascii="宋体" w:hAnsi="宋体" w:cs="Arial"/>
          <w:kern w:val="0"/>
          <w:sz w:val="24"/>
        </w:rPr>
        <w:t xml:space="preserve">       </w:t>
      </w:r>
      <w:r>
        <w:rPr>
          <w:rFonts w:hint="eastAsia" w:ascii="宋体" w:hAnsi="宋体" w:cs="宋体"/>
          <w:kern w:val="0"/>
          <w:sz w:val="24"/>
        </w:rPr>
        <w:t>证券简称：江苏吴中</w:t>
      </w:r>
      <w:r>
        <w:rPr>
          <w:rFonts w:ascii="宋体" w:hAnsi="宋体" w:cs="宋体"/>
          <w:kern w:val="0"/>
          <w:sz w:val="24"/>
        </w:rPr>
        <w:t xml:space="preserve"> </w:t>
      </w:r>
      <w:r>
        <w:rPr>
          <w:rFonts w:hint="eastAsia" w:ascii="宋体" w:hAnsi="宋体" w:cs="宋体"/>
          <w:kern w:val="0"/>
          <w:sz w:val="24"/>
        </w:rPr>
        <w:t xml:space="preserve">      </w:t>
      </w:r>
      <w:r>
        <w:rPr>
          <w:rFonts w:hint="eastAsia" w:ascii="宋体" w:hAnsi="宋体" w:cs="Arial"/>
          <w:kern w:val="0"/>
          <w:sz w:val="24"/>
        </w:rPr>
        <w:t xml:space="preserve"> 公告编号：临202</w:t>
      </w:r>
      <w:r>
        <w:rPr>
          <w:rFonts w:hint="eastAsia" w:ascii="宋体" w:hAnsi="宋体" w:cs="Arial"/>
          <w:kern w:val="0"/>
          <w:sz w:val="24"/>
          <w:lang w:val="en-US" w:eastAsia="zh-CN"/>
        </w:rPr>
        <w:t>4</w:t>
      </w:r>
      <w:r>
        <w:rPr>
          <w:rFonts w:hint="eastAsia" w:ascii="宋体" w:hAnsi="宋体" w:cs="Arial"/>
          <w:kern w:val="0"/>
          <w:sz w:val="24"/>
        </w:rPr>
        <w:t>-0</w:t>
      </w:r>
      <w:r>
        <w:rPr>
          <w:rFonts w:hint="eastAsia" w:ascii="宋体" w:hAnsi="宋体" w:cs="Arial"/>
          <w:kern w:val="0"/>
          <w:sz w:val="24"/>
          <w:lang w:val="en-US" w:eastAsia="zh-CN"/>
        </w:rPr>
        <w:t>07</w:t>
      </w:r>
    </w:p>
    <w:p>
      <w:pPr>
        <w:autoSpaceDE w:val="0"/>
        <w:autoSpaceDN w:val="0"/>
        <w:adjustRightInd w:val="0"/>
        <w:spacing w:line="360" w:lineRule="auto"/>
        <w:jc w:val="center"/>
        <w:rPr>
          <w:rFonts w:ascii="黑体" w:hAnsi="宋体" w:eastAsia="黑体" w:cs="黑体"/>
          <w:kern w:val="0"/>
          <w:sz w:val="30"/>
          <w:szCs w:val="30"/>
        </w:rPr>
      </w:pPr>
    </w:p>
    <w:p>
      <w:pPr>
        <w:spacing w:line="360" w:lineRule="auto"/>
        <w:jc w:val="center"/>
        <w:rPr>
          <w:rFonts w:ascii="黑体" w:hAnsi="宋体" w:eastAsia="黑体"/>
          <w:b/>
          <w:bCs/>
          <w:color w:val="FF0000"/>
          <w:sz w:val="32"/>
        </w:rPr>
      </w:pPr>
      <w:r>
        <w:rPr>
          <w:rFonts w:hint="eastAsia" w:ascii="黑体" w:hAnsi="宋体" w:eastAsia="黑体"/>
          <w:b/>
          <w:bCs/>
          <w:color w:val="FF0000"/>
          <w:sz w:val="32"/>
        </w:rPr>
        <w:t>江苏吴中医药发展股份有限公司</w:t>
      </w:r>
    </w:p>
    <w:p>
      <w:pPr>
        <w:autoSpaceDE w:val="0"/>
        <w:autoSpaceDN w:val="0"/>
        <w:adjustRightInd w:val="0"/>
        <w:spacing w:line="360" w:lineRule="auto"/>
        <w:jc w:val="center"/>
        <w:rPr>
          <w:rFonts w:hint="eastAsia" w:ascii="黑体" w:hAnsi="宋体" w:eastAsia="黑体"/>
          <w:b/>
          <w:bCs/>
          <w:color w:val="FF0000"/>
          <w:sz w:val="32"/>
        </w:rPr>
      </w:pPr>
      <w:r>
        <w:rPr>
          <w:rFonts w:hint="eastAsia" w:ascii="黑体" w:hAnsi="宋体" w:eastAsia="黑体"/>
          <w:b/>
          <w:bCs/>
          <w:color w:val="FF0000"/>
          <w:sz w:val="32"/>
        </w:rPr>
        <w:t>关于收到上海证券交易所《关于终止对江苏吴中医药发展股份有限公司向特定对象发行股票审核的决定》的公告</w:t>
      </w:r>
    </w:p>
    <w:p>
      <w:pPr>
        <w:autoSpaceDE w:val="0"/>
        <w:autoSpaceDN w:val="0"/>
        <w:adjustRightInd w:val="0"/>
        <w:spacing w:line="360" w:lineRule="auto"/>
        <w:ind w:firstLine="482" w:firstLineChars="200"/>
        <w:rPr>
          <w:rFonts w:hint="eastAsia" w:ascii="ˎ̥" w:hAnsi="ˎ̥"/>
          <w:b/>
          <w:color w:val="000000"/>
          <w:sz w:val="24"/>
        </w:rPr>
      </w:pPr>
    </w:p>
    <w:p>
      <w:pPr>
        <w:autoSpaceDE w:val="0"/>
        <w:autoSpaceDN w:val="0"/>
        <w:adjustRightInd w:val="0"/>
        <w:spacing w:line="360" w:lineRule="auto"/>
        <w:ind w:firstLine="482" w:firstLineChars="200"/>
        <w:rPr>
          <w:rFonts w:hint="eastAsia" w:ascii="ˎ̥" w:hAnsi="ˎ̥"/>
          <w:b/>
          <w:color w:val="000000"/>
          <w:sz w:val="24"/>
        </w:rPr>
      </w:pPr>
      <w:r>
        <w:rPr>
          <w:rFonts w:hint="eastAsia" w:ascii="ˎ̥" w:hAnsi="ˎ̥"/>
          <w:b/>
          <w:color w:val="000000"/>
          <w:sz w:val="24"/>
        </w:rPr>
        <w:t>本公司董事会及全体董事保证本公告内容不存在任何虚假记载、误导性陈述或者重大遗漏，并对其内容的真实性、准确性和完整性承担</w:t>
      </w:r>
      <w:r>
        <w:rPr>
          <w:rFonts w:hint="eastAsia" w:ascii="ˎ̥" w:hAnsi="ˎ̥"/>
          <w:b/>
          <w:color w:val="000000"/>
          <w:sz w:val="24"/>
          <w:lang w:val="en-US" w:eastAsia="zh-CN"/>
        </w:rPr>
        <w:t>法律</w:t>
      </w:r>
      <w:r>
        <w:rPr>
          <w:rFonts w:hint="eastAsia" w:ascii="ˎ̥" w:hAnsi="ˎ̥"/>
          <w:b/>
          <w:color w:val="000000"/>
          <w:sz w:val="24"/>
        </w:rPr>
        <w:t>责任。</w:t>
      </w:r>
    </w:p>
    <w:p>
      <w:pPr>
        <w:autoSpaceDE w:val="0"/>
        <w:autoSpaceDN w:val="0"/>
        <w:adjustRightInd w:val="0"/>
        <w:spacing w:line="360" w:lineRule="auto"/>
        <w:ind w:firstLine="480" w:firstLineChars="200"/>
        <w:rPr>
          <w:rFonts w:asciiTheme="minorEastAsia" w:hAnsiTheme="minorEastAsia" w:eastAsiaTheme="minorEastAsia"/>
          <w:color w:val="000000"/>
          <w:sz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rPr>
        <w:t>江苏吴中医药发展股份有限公司（以下简称“公司”）于2024年1月4日召开第十届董事会2024年第一次临时会议（通讯表决）、第十届监事会2024年第一次临时会议（通讯表决），审议通过了《关于终止2023年度向特定对象发行股票事项并撤回申请文件的议案》。同意公司终止2023年度向特定对象发行股票事项（以下简称“本次发行股票事项”），并向上海证券交易所（以下简称“上交所”）申请撤回申请文件。</w:t>
      </w:r>
      <w:bookmarkStart w:id="0" w:name="_GoBack"/>
      <w:bookmarkEnd w:id="0"/>
      <w:r>
        <w:rPr>
          <w:rFonts w:hint="eastAsia" w:asciiTheme="minorEastAsia" w:hAnsiTheme="minorEastAsia" w:eastAsiaTheme="minorEastAsia"/>
          <w:color w:val="000000"/>
          <w:sz w:val="24"/>
        </w:rPr>
        <w:t>具体内容详见公司于202</w:t>
      </w:r>
      <w:r>
        <w:rPr>
          <w:rFonts w:hint="eastAsia" w:asciiTheme="minorEastAsia" w:hAnsiTheme="minorEastAsia" w:eastAsiaTheme="minorEastAsia"/>
          <w:color w:val="000000"/>
          <w:sz w:val="24"/>
          <w:lang w:val="en-US" w:eastAsia="zh-CN"/>
        </w:rPr>
        <w:t>4</w:t>
      </w:r>
      <w:r>
        <w:rPr>
          <w:rFonts w:hint="eastAsia" w:asciiTheme="minorEastAsia" w:hAnsiTheme="minorEastAsia" w:eastAsiaTheme="minorEastAsia"/>
          <w:color w:val="000000"/>
          <w:sz w:val="24"/>
        </w:rPr>
        <w:t>年</w:t>
      </w:r>
      <w:r>
        <w:rPr>
          <w:rFonts w:hint="eastAsia" w:asciiTheme="minorEastAsia" w:hAnsiTheme="minorEastAsia" w:eastAsiaTheme="minorEastAsia"/>
          <w:color w:val="000000"/>
          <w:sz w:val="24"/>
          <w:lang w:val="en-US" w:eastAsia="zh-CN"/>
        </w:rPr>
        <w:t>1</w:t>
      </w:r>
      <w:r>
        <w:rPr>
          <w:rFonts w:hint="eastAsia" w:asciiTheme="minorEastAsia" w:hAnsiTheme="minorEastAsia" w:eastAsiaTheme="minorEastAsia"/>
          <w:color w:val="000000"/>
          <w:sz w:val="24"/>
        </w:rPr>
        <w:t>月</w:t>
      </w:r>
      <w:r>
        <w:rPr>
          <w:rFonts w:hint="eastAsia" w:asciiTheme="minorEastAsia" w:hAnsiTheme="minorEastAsia" w:eastAsiaTheme="minorEastAsia"/>
          <w:color w:val="000000"/>
          <w:sz w:val="24"/>
          <w:lang w:val="en-US" w:eastAsia="zh-CN"/>
        </w:rPr>
        <w:t>5</w:t>
      </w:r>
      <w:r>
        <w:rPr>
          <w:rFonts w:hint="eastAsia" w:asciiTheme="minorEastAsia" w:hAnsiTheme="minorEastAsia" w:eastAsiaTheme="minorEastAsia"/>
          <w:color w:val="000000"/>
          <w:sz w:val="24"/>
        </w:rPr>
        <w:t>日在《中国证券报》、《上海证券报》及上海证券交易所网站上披露的相关公告。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rPr>
        <w:t>2024年1月12日，公司和保荐人中山证券有限责任公司向</w:t>
      </w:r>
      <w:r>
        <w:rPr>
          <w:rFonts w:hint="eastAsia" w:asciiTheme="minorEastAsia" w:hAnsiTheme="minorEastAsia" w:eastAsiaTheme="minorEastAsia"/>
          <w:color w:val="000000"/>
          <w:sz w:val="24"/>
          <w:lang w:val="en-US" w:eastAsia="zh-CN"/>
        </w:rPr>
        <w:t>上交所</w:t>
      </w:r>
      <w:r>
        <w:rPr>
          <w:rFonts w:hint="eastAsia" w:asciiTheme="minorEastAsia" w:hAnsiTheme="minorEastAsia" w:eastAsiaTheme="minorEastAsia"/>
          <w:color w:val="000000"/>
          <w:sz w:val="24"/>
        </w:rPr>
        <w:t>提交了《江苏吴中医药发展股份有限公司关于撤回向特定对象发行A股股票的申请》和《中山证券关于撤销江苏吴中2023年向特定对象发行股票保荐工作的申请》，分别申请撤回向特定对象发行股票的申请文件和申请撤销向特定对象发行股票并在主板上市保荐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heme="minorEastAsia" w:hAnsiTheme="minorEastAsia" w:eastAsiaTheme="minorEastAsia"/>
          <w:sz w:val="24"/>
        </w:rPr>
      </w:pPr>
      <w:r>
        <w:rPr>
          <w:rFonts w:hint="eastAsia" w:asciiTheme="minorEastAsia" w:hAnsiTheme="minorEastAsia" w:eastAsiaTheme="minorEastAsia"/>
          <w:color w:val="000000"/>
          <w:sz w:val="24"/>
          <w:lang w:val="en-US" w:eastAsia="zh-CN"/>
        </w:rPr>
        <w:t>2024年1月17日</w:t>
      </w:r>
      <w:r>
        <w:rPr>
          <w:rFonts w:hint="eastAsia" w:asciiTheme="minorEastAsia" w:hAnsiTheme="minorEastAsia" w:eastAsiaTheme="minorEastAsia"/>
          <w:color w:val="000000"/>
          <w:sz w:val="24"/>
        </w:rPr>
        <w:t>，公司收到上交所出具的《关于终止对江苏吴中医药发展股份有限公司向特定对象发行股票审核的决定》（上证上审（再融资）〔202</w:t>
      </w:r>
      <w:r>
        <w:rPr>
          <w:rFonts w:hint="eastAsia" w:asciiTheme="minorEastAsia" w:hAnsiTheme="minorEastAsia" w:eastAsiaTheme="minorEastAsia"/>
          <w:color w:val="000000"/>
          <w:sz w:val="24"/>
          <w:lang w:val="en-US" w:eastAsia="zh-CN"/>
        </w:rPr>
        <w:t>4</w:t>
      </w:r>
      <w:r>
        <w:rPr>
          <w:rFonts w:hint="eastAsia" w:asciiTheme="minorEastAsia" w:hAnsiTheme="minorEastAsia" w:eastAsiaTheme="minorEastAsia"/>
          <w:color w:val="000000"/>
          <w:sz w:val="24"/>
        </w:rPr>
        <w:t>〕</w:t>
      </w:r>
      <w:r>
        <w:rPr>
          <w:rFonts w:hint="eastAsia" w:asciiTheme="minorEastAsia" w:hAnsiTheme="minorEastAsia" w:eastAsiaTheme="minorEastAsia"/>
          <w:color w:val="000000"/>
          <w:sz w:val="24"/>
          <w:lang w:val="en-US" w:eastAsia="zh-CN"/>
        </w:rPr>
        <w:t>18</w:t>
      </w:r>
      <w:r>
        <w:rPr>
          <w:rFonts w:hint="eastAsia" w:asciiTheme="minorEastAsia" w:hAnsiTheme="minorEastAsia" w:eastAsiaTheme="minorEastAsia"/>
          <w:color w:val="000000"/>
          <w:sz w:val="24"/>
        </w:rPr>
        <w:t>号），上交所根据《上海证券交易所上市公司证券发行上市审核规则》第十九条、《上海证券交易所股票发行上市审核规则》第六十三条（二）的有关规定，决定终止对公司向特定对象发行股票的审核。</w:t>
      </w:r>
    </w:p>
    <w:p>
      <w:pPr>
        <w:spacing w:line="360" w:lineRule="auto"/>
        <w:ind w:firstLine="480" w:firstLineChars="200"/>
        <w:rPr>
          <w:rFonts w:asciiTheme="minorEastAsia" w:hAnsiTheme="minorEastAsia" w:eastAsiaTheme="minorEastAsia"/>
          <w:sz w:val="24"/>
        </w:rPr>
      </w:pPr>
    </w:p>
    <w:p>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特此公告</w:t>
      </w:r>
      <w:r>
        <w:rPr>
          <w:rFonts w:hint="eastAsia" w:asciiTheme="minorEastAsia" w:hAnsiTheme="minorEastAsia" w:eastAsiaTheme="minorEastAsia"/>
          <w:sz w:val="24"/>
        </w:rPr>
        <w:t>。</w:t>
      </w:r>
    </w:p>
    <w:p>
      <w:pPr>
        <w:spacing w:line="360" w:lineRule="auto"/>
        <w:ind w:right="-147" w:rightChars="-70" w:firstLine="480" w:firstLineChars="200"/>
        <w:rPr>
          <w:rFonts w:asciiTheme="minorEastAsia" w:hAnsiTheme="minorEastAsia" w:eastAsiaTheme="minorEastAsia"/>
          <w:color w:val="000000"/>
          <w:sz w:val="24"/>
        </w:rPr>
      </w:pPr>
    </w:p>
    <w:p>
      <w:pPr>
        <w:spacing w:line="360" w:lineRule="auto"/>
        <w:jc w:val="left"/>
        <w:rPr>
          <w:rFonts w:asciiTheme="minorEastAsia" w:hAnsiTheme="minorEastAsia" w:eastAsiaTheme="minorEastAsia"/>
          <w:sz w:val="24"/>
        </w:rPr>
      </w:pPr>
    </w:p>
    <w:p>
      <w:pPr>
        <w:spacing w:line="360" w:lineRule="auto"/>
        <w:jc w:val="right"/>
        <w:rPr>
          <w:rFonts w:asciiTheme="minorEastAsia" w:hAnsiTheme="minorEastAsia" w:eastAsiaTheme="minorEastAsia"/>
          <w:sz w:val="24"/>
        </w:rPr>
      </w:pPr>
      <w:r>
        <w:rPr>
          <w:rFonts w:hint="eastAsia" w:asciiTheme="minorEastAsia" w:hAnsiTheme="minorEastAsia" w:eastAsiaTheme="minorEastAsia"/>
          <w:sz w:val="24"/>
        </w:rPr>
        <w:t>江苏吴中医药发展股份有限公司</w:t>
      </w:r>
    </w:p>
    <w:p>
      <w:pPr>
        <w:wordWrap w:val="0"/>
        <w:spacing w:line="360" w:lineRule="auto"/>
        <w:ind w:right="480"/>
        <w:jc w:val="right"/>
        <w:rPr>
          <w:rFonts w:asciiTheme="minorEastAsia" w:hAnsiTheme="minorEastAsia" w:eastAsiaTheme="minorEastAsia"/>
          <w:sz w:val="24"/>
        </w:rPr>
      </w:pPr>
      <w:r>
        <w:rPr>
          <w:rFonts w:hint="eastAsia" w:asciiTheme="minorEastAsia" w:hAnsiTheme="minorEastAsia" w:eastAsiaTheme="minorEastAsia"/>
          <w:sz w:val="24"/>
        </w:rPr>
        <w:t xml:space="preserve">董事会      </w:t>
      </w:r>
    </w:p>
    <w:p>
      <w:pPr>
        <w:spacing w:line="360" w:lineRule="auto"/>
        <w:ind w:right="480" w:firstLine="480" w:firstLineChars="200"/>
        <w:jc w:val="center"/>
        <w:rPr>
          <w:rFonts w:asciiTheme="minorEastAsia" w:hAnsiTheme="minorEastAsia" w:eastAsiaTheme="minorEastAsia"/>
          <w:color w:val="000000"/>
          <w:sz w:val="24"/>
        </w:rPr>
      </w:pPr>
      <w:r>
        <w:rPr>
          <w:rFonts w:hint="eastAsia" w:asciiTheme="minorEastAsia" w:hAnsiTheme="minorEastAsia" w:eastAsiaTheme="minorEastAsia"/>
          <w:color w:val="000000"/>
          <w:sz w:val="24"/>
        </w:rPr>
        <w:t xml:space="preserve">                                              202</w:t>
      </w:r>
      <w:r>
        <w:rPr>
          <w:rFonts w:hint="eastAsia" w:asciiTheme="minorEastAsia" w:hAnsiTheme="minorEastAsia" w:eastAsiaTheme="minorEastAsia"/>
          <w:color w:val="000000"/>
          <w:sz w:val="24"/>
          <w:lang w:val="en-US" w:eastAsia="zh-CN"/>
        </w:rPr>
        <w:t>4</w:t>
      </w:r>
      <w:r>
        <w:rPr>
          <w:rFonts w:hint="eastAsia" w:asciiTheme="minorEastAsia" w:hAnsiTheme="minorEastAsia" w:eastAsiaTheme="minorEastAsia"/>
          <w:color w:val="000000"/>
          <w:sz w:val="24"/>
        </w:rPr>
        <w:t>年</w:t>
      </w:r>
      <w:r>
        <w:rPr>
          <w:rFonts w:hint="eastAsia" w:asciiTheme="minorEastAsia" w:hAnsiTheme="minorEastAsia" w:eastAsiaTheme="minorEastAsia"/>
          <w:color w:val="000000"/>
          <w:sz w:val="24"/>
          <w:lang w:val="en-US" w:eastAsia="zh-CN"/>
        </w:rPr>
        <w:t>1</w:t>
      </w:r>
      <w:r>
        <w:rPr>
          <w:rFonts w:hint="eastAsia" w:asciiTheme="minorEastAsia" w:hAnsiTheme="minorEastAsia" w:eastAsiaTheme="minorEastAsia"/>
          <w:color w:val="000000"/>
          <w:sz w:val="24"/>
        </w:rPr>
        <w:t>月1</w:t>
      </w:r>
      <w:r>
        <w:rPr>
          <w:rFonts w:hint="eastAsia" w:asciiTheme="minorEastAsia" w:hAnsiTheme="minorEastAsia" w:eastAsiaTheme="minorEastAsia"/>
          <w:color w:val="000000"/>
          <w:sz w:val="24"/>
          <w:lang w:val="en-US" w:eastAsia="zh-CN"/>
        </w:rPr>
        <w:t>9</w:t>
      </w:r>
      <w:r>
        <w:rPr>
          <w:rFonts w:hint="eastAsia" w:asciiTheme="minorEastAsia" w:hAnsiTheme="minorEastAsia" w:eastAsiaTheme="minorEastAsia"/>
          <w:color w:val="000000"/>
          <w:sz w:val="24"/>
        </w:rPr>
        <w:t>日</w:t>
      </w:r>
    </w:p>
    <w:p>
      <w:pPr>
        <w:spacing w:line="360" w:lineRule="auto"/>
        <w:rPr>
          <w:rFonts w:asciiTheme="minorEastAsia" w:hAnsiTheme="minorEastAsia" w:eastAsiaTheme="minorEastAsia"/>
          <w:sz w:val="24"/>
        </w:rPr>
      </w:pPr>
    </w:p>
    <w:p>
      <w:pPr>
        <w:autoSpaceDE w:val="0"/>
        <w:autoSpaceDN w:val="0"/>
        <w:adjustRightInd w:val="0"/>
        <w:spacing w:line="360" w:lineRule="auto"/>
        <w:ind w:firstLine="420" w:firstLineChars="200"/>
      </w:pPr>
    </w:p>
    <w:sectPr>
      <w:footerReference r:id="rId3" w:type="default"/>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wMDkyNTZjMzMwNGNiNWI4YzBkN2FjZjU1MzgyMDgifQ=="/>
  </w:docVars>
  <w:rsids>
    <w:rsidRoot w:val="00265A75"/>
    <w:rsid w:val="000052DC"/>
    <w:rsid w:val="0001153F"/>
    <w:rsid w:val="00015559"/>
    <w:rsid w:val="0003171D"/>
    <w:rsid w:val="00034EAF"/>
    <w:rsid w:val="000377FA"/>
    <w:rsid w:val="000514F9"/>
    <w:rsid w:val="0007113B"/>
    <w:rsid w:val="0007554B"/>
    <w:rsid w:val="00077985"/>
    <w:rsid w:val="000C1EBF"/>
    <w:rsid w:val="000D5160"/>
    <w:rsid w:val="000D59A8"/>
    <w:rsid w:val="000E5928"/>
    <w:rsid w:val="001044FC"/>
    <w:rsid w:val="00115DE0"/>
    <w:rsid w:val="00123A34"/>
    <w:rsid w:val="00125BE8"/>
    <w:rsid w:val="00125EB5"/>
    <w:rsid w:val="001302DF"/>
    <w:rsid w:val="00141A30"/>
    <w:rsid w:val="0014235B"/>
    <w:rsid w:val="001449C0"/>
    <w:rsid w:val="00151157"/>
    <w:rsid w:val="00163205"/>
    <w:rsid w:val="001677EE"/>
    <w:rsid w:val="00167B35"/>
    <w:rsid w:val="001741A0"/>
    <w:rsid w:val="00184711"/>
    <w:rsid w:val="00190F6C"/>
    <w:rsid w:val="00194544"/>
    <w:rsid w:val="001A6F91"/>
    <w:rsid w:val="001C16DA"/>
    <w:rsid w:val="001D198B"/>
    <w:rsid w:val="001E49FF"/>
    <w:rsid w:val="001F698F"/>
    <w:rsid w:val="00201E57"/>
    <w:rsid w:val="002101B8"/>
    <w:rsid w:val="00227A64"/>
    <w:rsid w:val="002343EA"/>
    <w:rsid w:val="002442A3"/>
    <w:rsid w:val="00251C73"/>
    <w:rsid w:val="00256018"/>
    <w:rsid w:val="002561CC"/>
    <w:rsid w:val="0025726D"/>
    <w:rsid w:val="0025795B"/>
    <w:rsid w:val="002603E5"/>
    <w:rsid w:val="00265A75"/>
    <w:rsid w:val="00266464"/>
    <w:rsid w:val="00270486"/>
    <w:rsid w:val="0027220C"/>
    <w:rsid w:val="002808AB"/>
    <w:rsid w:val="00284CD2"/>
    <w:rsid w:val="002B5713"/>
    <w:rsid w:val="002B7CCB"/>
    <w:rsid w:val="002C71E7"/>
    <w:rsid w:val="002D2369"/>
    <w:rsid w:val="002D4C8C"/>
    <w:rsid w:val="002F64AF"/>
    <w:rsid w:val="002F74DC"/>
    <w:rsid w:val="00324EB8"/>
    <w:rsid w:val="003307ED"/>
    <w:rsid w:val="003334F6"/>
    <w:rsid w:val="003402E8"/>
    <w:rsid w:val="00353BA1"/>
    <w:rsid w:val="00360937"/>
    <w:rsid w:val="00363847"/>
    <w:rsid w:val="0037324C"/>
    <w:rsid w:val="00373349"/>
    <w:rsid w:val="0038210C"/>
    <w:rsid w:val="003870CC"/>
    <w:rsid w:val="003B1D84"/>
    <w:rsid w:val="003B5345"/>
    <w:rsid w:val="003C607D"/>
    <w:rsid w:val="003D0C3B"/>
    <w:rsid w:val="003D3FFF"/>
    <w:rsid w:val="003D798A"/>
    <w:rsid w:val="003E2FD2"/>
    <w:rsid w:val="003E355B"/>
    <w:rsid w:val="0041720E"/>
    <w:rsid w:val="0042410C"/>
    <w:rsid w:val="004374BE"/>
    <w:rsid w:val="00444265"/>
    <w:rsid w:val="004502F4"/>
    <w:rsid w:val="00475AC0"/>
    <w:rsid w:val="00496E8A"/>
    <w:rsid w:val="004A41EF"/>
    <w:rsid w:val="004B70B1"/>
    <w:rsid w:val="004C0C76"/>
    <w:rsid w:val="004C27B9"/>
    <w:rsid w:val="004C3A3E"/>
    <w:rsid w:val="004C3DB4"/>
    <w:rsid w:val="004D2BA0"/>
    <w:rsid w:val="004E363D"/>
    <w:rsid w:val="004F1ED6"/>
    <w:rsid w:val="004F1F15"/>
    <w:rsid w:val="004F65E5"/>
    <w:rsid w:val="005014D1"/>
    <w:rsid w:val="0054211F"/>
    <w:rsid w:val="00542DA0"/>
    <w:rsid w:val="0054311D"/>
    <w:rsid w:val="005477DA"/>
    <w:rsid w:val="00555131"/>
    <w:rsid w:val="00557690"/>
    <w:rsid w:val="005712CB"/>
    <w:rsid w:val="0057353C"/>
    <w:rsid w:val="005737FA"/>
    <w:rsid w:val="00577CBB"/>
    <w:rsid w:val="00580E39"/>
    <w:rsid w:val="00591636"/>
    <w:rsid w:val="005B4F18"/>
    <w:rsid w:val="005C3668"/>
    <w:rsid w:val="005D417A"/>
    <w:rsid w:val="005D4ACB"/>
    <w:rsid w:val="005D5EDA"/>
    <w:rsid w:val="005E4AFF"/>
    <w:rsid w:val="00606509"/>
    <w:rsid w:val="00615D49"/>
    <w:rsid w:val="006412D7"/>
    <w:rsid w:val="006446F0"/>
    <w:rsid w:val="00645C77"/>
    <w:rsid w:val="00662769"/>
    <w:rsid w:val="00663516"/>
    <w:rsid w:val="0067327D"/>
    <w:rsid w:val="00682D83"/>
    <w:rsid w:val="00683AED"/>
    <w:rsid w:val="0069424B"/>
    <w:rsid w:val="00695D72"/>
    <w:rsid w:val="006A4EA1"/>
    <w:rsid w:val="006B29CA"/>
    <w:rsid w:val="006B2B65"/>
    <w:rsid w:val="006B7491"/>
    <w:rsid w:val="006C1D25"/>
    <w:rsid w:val="006E12CC"/>
    <w:rsid w:val="007001F0"/>
    <w:rsid w:val="007014FC"/>
    <w:rsid w:val="00712B2A"/>
    <w:rsid w:val="007230C3"/>
    <w:rsid w:val="00742761"/>
    <w:rsid w:val="0075060C"/>
    <w:rsid w:val="007564B5"/>
    <w:rsid w:val="0076676A"/>
    <w:rsid w:val="00766EEB"/>
    <w:rsid w:val="00772A33"/>
    <w:rsid w:val="0078609E"/>
    <w:rsid w:val="007918EE"/>
    <w:rsid w:val="007968F4"/>
    <w:rsid w:val="007A1575"/>
    <w:rsid w:val="007C79A9"/>
    <w:rsid w:val="007C7BAF"/>
    <w:rsid w:val="007E3476"/>
    <w:rsid w:val="00802A0A"/>
    <w:rsid w:val="00824AB0"/>
    <w:rsid w:val="008378DC"/>
    <w:rsid w:val="008412C9"/>
    <w:rsid w:val="00887DA0"/>
    <w:rsid w:val="00893296"/>
    <w:rsid w:val="008935D4"/>
    <w:rsid w:val="008A72B1"/>
    <w:rsid w:val="008B3703"/>
    <w:rsid w:val="008B43ED"/>
    <w:rsid w:val="008B4735"/>
    <w:rsid w:val="008C0E07"/>
    <w:rsid w:val="008E57CC"/>
    <w:rsid w:val="008F5155"/>
    <w:rsid w:val="008F6AB5"/>
    <w:rsid w:val="00904870"/>
    <w:rsid w:val="00933FA5"/>
    <w:rsid w:val="00934104"/>
    <w:rsid w:val="0094672C"/>
    <w:rsid w:val="00955A3F"/>
    <w:rsid w:val="00960430"/>
    <w:rsid w:val="00967AA4"/>
    <w:rsid w:val="00995DC5"/>
    <w:rsid w:val="009E1FA0"/>
    <w:rsid w:val="009E3014"/>
    <w:rsid w:val="009F0BB3"/>
    <w:rsid w:val="00A05A16"/>
    <w:rsid w:val="00A1341B"/>
    <w:rsid w:val="00A13AC5"/>
    <w:rsid w:val="00A1423D"/>
    <w:rsid w:val="00A204FB"/>
    <w:rsid w:val="00A205C1"/>
    <w:rsid w:val="00A206E4"/>
    <w:rsid w:val="00A267F9"/>
    <w:rsid w:val="00A31603"/>
    <w:rsid w:val="00A34683"/>
    <w:rsid w:val="00A36051"/>
    <w:rsid w:val="00A37C3C"/>
    <w:rsid w:val="00A42891"/>
    <w:rsid w:val="00A51FF0"/>
    <w:rsid w:val="00A72475"/>
    <w:rsid w:val="00A842DF"/>
    <w:rsid w:val="00A84979"/>
    <w:rsid w:val="00A950B9"/>
    <w:rsid w:val="00A973BC"/>
    <w:rsid w:val="00AA10D4"/>
    <w:rsid w:val="00AA706B"/>
    <w:rsid w:val="00AB0CFB"/>
    <w:rsid w:val="00AB15F8"/>
    <w:rsid w:val="00AB2664"/>
    <w:rsid w:val="00AB53AC"/>
    <w:rsid w:val="00AB6C97"/>
    <w:rsid w:val="00AC11D0"/>
    <w:rsid w:val="00AC7ABF"/>
    <w:rsid w:val="00AD0003"/>
    <w:rsid w:val="00AE1FF9"/>
    <w:rsid w:val="00AF45BF"/>
    <w:rsid w:val="00AF476E"/>
    <w:rsid w:val="00B03668"/>
    <w:rsid w:val="00B07E79"/>
    <w:rsid w:val="00B27494"/>
    <w:rsid w:val="00B31A8D"/>
    <w:rsid w:val="00B369BE"/>
    <w:rsid w:val="00B40795"/>
    <w:rsid w:val="00B52013"/>
    <w:rsid w:val="00B57C2F"/>
    <w:rsid w:val="00B83EF8"/>
    <w:rsid w:val="00B87AB6"/>
    <w:rsid w:val="00BA46C7"/>
    <w:rsid w:val="00BB5C59"/>
    <w:rsid w:val="00BB5E17"/>
    <w:rsid w:val="00BB5F62"/>
    <w:rsid w:val="00BC7D27"/>
    <w:rsid w:val="00BD4209"/>
    <w:rsid w:val="00BE7989"/>
    <w:rsid w:val="00BF5380"/>
    <w:rsid w:val="00BF68F7"/>
    <w:rsid w:val="00C01D90"/>
    <w:rsid w:val="00C1036D"/>
    <w:rsid w:val="00C14435"/>
    <w:rsid w:val="00C442D1"/>
    <w:rsid w:val="00C62BAA"/>
    <w:rsid w:val="00C65924"/>
    <w:rsid w:val="00C66833"/>
    <w:rsid w:val="00C6792D"/>
    <w:rsid w:val="00C71DAA"/>
    <w:rsid w:val="00C745A9"/>
    <w:rsid w:val="00C770B6"/>
    <w:rsid w:val="00C77455"/>
    <w:rsid w:val="00C8490D"/>
    <w:rsid w:val="00C84E9B"/>
    <w:rsid w:val="00C875F5"/>
    <w:rsid w:val="00CA1004"/>
    <w:rsid w:val="00CB2DCE"/>
    <w:rsid w:val="00CC65AD"/>
    <w:rsid w:val="00CC7C0B"/>
    <w:rsid w:val="00CD2A4D"/>
    <w:rsid w:val="00CD5891"/>
    <w:rsid w:val="00CD607E"/>
    <w:rsid w:val="00CD6EAB"/>
    <w:rsid w:val="00CD7F62"/>
    <w:rsid w:val="00CE4D8A"/>
    <w:rsid w:val="00CF2676"/>
    <w:rsid w:val="00CF42BE"/>
    <w:rsid w:val="00CF7E7A"/>
    <w:rsid w:val="00D04CBB"/>
    <w:rsid w:val="00D05E2F"/>
    <w:rsid w:val="00D141A5"/>
    <w:rsid w:val="00D21B8D"/>
    <w:rsid w:val="00D26D15"/>
    <w:rsid w:val="00D3212E"/>
    <w:rsid w:val="00D45281"/>
    <w:rsid w:val="00D53DC4"/>
    <w:rsid w:val="00D601FE"/>
    <w:rsid w:val="00D6753A"/>
    <w:rsid w:val="00D7040A"/>
    <w:rsid w:val="00D71559"/>
    <w:rsid w:val="00D73864"/>
    <w:rsid w:val="00D77523"/>
    <w:rsid w:val="00D819D3"/>
    <w:rsid w:val="00D86A2F"/>
    <w:rsid w:val="00D909E7"/>
    <w:rsid w:val="00D90BC6"/>
    <w:rsid w:val="00D92B06"/>
    <w:rsid w:val="00DC0757"/>
    <w:rsid w:val="00DD409A"/>
    <w:rsid w:val="00DE24B3"/>
    <w:rsid w:val="00DE3893"/>
    <w:rsid w:val="00DF08C9"/>
    <w:rsid w:val="00E003D0"/>
    <w:rsid w:val="00E025CD"/>
    <w:rsid w:val="00E05034"/>
    <w:rsid w:val="00E220DE"/>
    <w:rsid w:val="00E26F68"/>
    <w:rsid w:val="00E31233"/>
    <w:rsid w:val="00E373CB"/>
    <w:rsid w:val="00E74755"/>
    <w:rsid w:val="00E74E4D"/>
    <w:rsid w:val="00E77D37"/>
    <w:rsid w:val="00E90C0B"/>
    <w:rsid w:val="00E915EA"/>
    <w:rsid w:val="00E9529E"/>
    <w:rsid w:val="00E96761"/>
    <w:rsid w:val="00E97E93"/>
    <w:rsid w:val="00EA6444"/>
    <w:rsid w:val="00EB0FB2"/>
    <w:rsid w:val="00EB7FBA"/>
    <w:rsid w:val="00ED4428"/>
    <w:rsid w:val="00EF67AA"/>
    <w:rsid w:val="00F03FA2"/>
    <w:rsid w:val="00F07A0E"/>
    <w:rsid w:val="00F11687"/>
    <w:rsid w:val="00F13C59"/>
    <w:rsid w:val="00F161EE"/>
    <w:rsid w:val="00F168FB"/>
    <w:rsid w:val="00F21312"/>
    <w:rsid w:val="00F23D77"/>
    <w:rsid w:val="00F25681"/>
    <w:rsid w:val="00F41B3B"/>
    <w:rsid w:val="00F43502"/>
    <w:rsid w:val="00F642E6"/>
    <w:rsid w:val="00F75621"/>
    <w:rsid w:val="00F75B8D"/>
    <w:rsid w:val="00F7601B"/>
    <w:rsid w:val="00F84401"/>
    <w:rsid w:val="00F92A30"/>
    <w:rsid w:val="00FA5496"/>
    <w:rsid w:val="00FB56C5"/>
    <w:rsid w:val="00FB79DD"/>
    <w:rsid w:val="00FD17D4"/>
    <w:rsid w:val="00FD212D"/>
    <w:rsid w:val="00FE4FBE"/>
    <w:rsid w:val="00FE57F0"/>
    <w:rsid w:val="00FE5ACA"/>
    <w:rsid w:val="00FF4417"/>
    <w:rsid w:val="0BEA22BB"/>
    <w:rsid w:val="25DC5E46"/>
    <w:rsid w:val="30A14707"/>
    <w:rsid w:val="3233535A"/>
    <w:rsid w:val="36CC7811"/>
    <w:rsid w:val="3B4E4C98"/>
    <w:rsid w:val="40414DCB"/>
    <w:rsid w:val="47C00CCC"/>
    <w:rsid w:val="5A6809CC"/>
    <w:rsid w:val="5B2F1F99"/>
    <w:rsid w:val="5FA359FE"/>
    <w:rsid w:val="696A6892"/>
    <w:rsid w:val="7DFA5FDE"/>
    <w:rsid w:val="7EB919F5"/>
    <w:rsid w:val="7FA72C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6"/>
    <w:autoRedefine/>
    <w:qFormat/>
    <w:uiPriority w:val="99"/>
    <w:pPr>
      <w:tabs>
        <w:tab w:val="center" w:pos="4153"/>
        <w:tab w:val="right" w:pos="8306"/>
      </w:tabs>
      <w:snapToGrid w:val="0"/>
      <w:jc w:val="left"/>
    </w:pPr>
    <w:rPr>
      <w:sz w:val="18"/>
      <w:szCs w:val="18"/>
    </w:rPr>
  </w:style>
  <w:style w:type="paragraph" w:styleId="3">
    <w:name w:val="header"/>
    <w:basedOn w:val="1"/>
    <w:link w:val="7"/>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Char"/>
    <w:basedOn w:val="5"/>
    <w:link w:val="2"/>
    <w:autoRedefine/>
    <w:qFormat/>
    <w:uiPriority w:val="99"/>
    <w:rPr>
      <w:rFonts w:ascii="Times New Roman" w:hAnsi="Times New Roman" w:eastAsia="宋体" w:cs="Times New Roman"/>
      <w:sz w:val="18"/>
      <w:szCs w:val="18"/>
    </w:rPr>
  </w:style>
  <w:style w:type="character" w:customStyle="1" w:styleId="7">
    <w:name w:val="页眉 Char"/>
    <w:basedOn w:val="5"/>
    <w:link w:val="3"/>
    <w:autoRedefine/>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81</Words>
  <Characters>466</Characters>
  <Lines>3</Lines>
  <Paragraphs>1</Paragraphs>
  <TotalTime>76</TotalTime>
  <ScaleCrop>false</ScaleCrop>
  <LinksUpToDate>false</LinksUpToDate>
  <CharactersWithSpaces>546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2021-03-17T05:13:00Z</dcterms:created>
  <dc:creator>李锐</dc:creator>
  <cp:lastModifiedBy>王雅杰</cp:lastModifiedBy>
  <cp:lastPrinted>2024-01-18T02:36:52Z</cp:lastPrinted>
  <dcterms:modified xsi:type="dcterms:W3CDTF">2024-01-18T02:38:25Z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038B3109BEEA4FEAA039D06BCE0138B9_12</vt:lpwstr>
  </property>
</Properties>
</file>