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ascii="宋体" w:hAnsi="宋体" w:cs="Arial"/>
          <w:kern w:val="0"/>
          <w:sz w:val="24"/>
        </w:rPr>
      </w:pPr>
      <w:r>
        <w:rPr>
          <w:rFonts w:hint="eastAsia" w:ascii="宋体" w:hAnsi="宋体" w:cs="宋体"/>
          <w:kern w:val="0"/>
          <w:sz w:val="24"/>
        </w:rPr>
        <w:t>证券代码：</w:t>
      </w:r>
      <w:r>
        <w:rPr>
          <w:rFonts w:ascii="宋体" w:hAnsi="宋体" w:cs="Arial"/>
          <w:kern w:val="0"/>
          <w:sz w:val="24"/>
        </w:rPr>
        <w:t>600</w:t>
      </w:r>
      <w:r>
        <w:rPr>
          <w:rFonts w:hint="eastAsia" w:ascii="宋体" w:hAnsi="宋体" w:cs="Arial"/>
          <w:kern w:val="0"/>
          <w:sz w:val="24"/>
        </w:rPr>
        <w:t xml:space="preserve">200  </w:t>
      </w:r>
      <w:r>
        <w:rPr>
          <w:rFonts w:ascii="宋体" w:hAnsi="宋体" w:cs="Arial"/>
          <w:kern w:val="0"/>
          <w:sz w:val="24"/>
        </w:rPr>
        <w:t xml:space="preserve"> </w:t>
      </w:r>
      <w:r>
        <w:rPr>
          <w:rFonts w:hint="eastAsia" w:ascii="宋体" w:hAnsi="宋体" w:cs="Arial"/>
          <w:kern w:val="0"/>
          <w:sz w:val="24"/>
        </w:rPr>
        <w:t xml:space="preserve">       </w:t>
      </w:r>
      <w:r>
        <w:rPr>
          <w:rFonts w:hint="eastAsia" w:ascii="宋体" w:hAnsi="宋体" w:cs="宋体"/>
          <w:kern w:val="0"/>
          <w:sz w:val="24"/>
        </w:rPr>
        <w:t>证券简称：江苏吴中</w:t>
      </w:r>
      <w:r>
        <w:rPr>
          <w:rFonts w:ascii="宋体" w:hAnsi="宋体" w:cs="宋体"/>
          <w:kern w:val="0"/>
          <w:sz w:val="24"/>
        </w:rPr>
        <w:t xml:space="preserve"> </w:t>
      </w:r>
      <w:r>
        <w:rPr>
          <w:rFonts w:hint="eastAsia" w:ascii="宋体" w:hAnsi="宋体" w:cs="宋体"/>
          <w:kern w:val="0"/>
          <w:sz w:val="24"/>
        </w:rPr>
        <w:t xml:space="preserve">      </w:t>
      </w:r>
      <w:r>
        <w:rPr>
          <w:rFonts w:hint="eastAsia" w:ascii="宋体" w:hAnsi="宋体" w:cs="Arial"/>
          <w:kern w:val="0"/>
          <w:sz w:val="24"/>
        </w:rPr>
        <w:t xml:space="preserve"> 公告编号：临2024-008</w:t>
      </w:r>
    </w:p>
    <w:p>
      <w:pPr>
        <w:autoSpaceDE w:val="0"/>
        <w:autoSpaceDN w:val="0"/>
        <w:adjustRightInd w:val="0"/>
        <w:spacing w:line="360" w:lineRule="auto"/>
        <w:jc w:val="center"/>
        <w:rPr>
          <w:rFonts w:ascii="黑体" w:hAnsi="宋体" w:eastAsia="黑体" w:cs="黑体"/>
          <w:kern w:val="0"/>
          <w:sz w:val="30"/>
          <w:szCs w:val="30"/>
        </w:rPr>
      </w:pPr>
    </w:p>
    <w:p>
      <w:pPr>
        <w:spacing w:line="360" w:lineRule="auto"/>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jc w:val="center"/>
        <w:rPr>
          <w:rFonts w:ascii="黑体" w:hAnsi="宋体" w:eastAsia="黑体"/>
          <w:b/>
          <w:bCs/>
          <w:color w:val="FF0000"/>
          <w:sz w:val="32"/>
        </w:rPr>
      </w:pPr>
      <w:r>
        <w:rPr>
          <w:rFonts w:hint="eastAsia" w:ascii="黑体" w:hAnsi="宋体" w:eastAsia="黑体"/>
          <w:b/>
          <w:bCs/>
          <w:color w:val="FF0000"/>
          <w:sz w:val="32"/>
        </w:rPr>
        <w:t>关于孙公司获得医疗器械注册证的公告</w:t>
      </w:r>
    </w:p>
    <w:p>
      <w:pPr>
        <w:autoSpaceDE w:val="0"/>
        <w:autoSpaceDN w:val="0"/>
        <w:adjustRightInd w:val="0"/>
        <w:spacing w:line="360" w:lineRule="auto"/>
        <w:ind w:firstLine="482" w:firstLineChars="200"/>
        <w:rPr>
          <w:rFonts w:hint="eastAsia" w:ascii="ˎ̥" w:hAnsi="ˎ̥"/>
          <w:b/>
          <w:color w:val="000000"/>
          <w:sz w:val="24"/>
        </w:rPr>
      </w:pPr>
    </w:p>
    <w:p>
      <w:pPr>
        <w:autoSpaceDE w:val="0"/>
        <w:autoSpaceDN w:val="0"/>
        <w:adjustRightInd w:val="0"/>
        <w:spacing w:line="360" w:lineRule="auto"/>
        <w:ind w:firstLine="482" w:firstLineChars="200"/>
        <w:rPr>
          <w:rFonts w:hint="eastAsia" w:ascii="ˎ̥" w:hAnsi="ˎ̥"/>
          <w:b/>
          <w:color w:val="000000"/>
          <w:sz w:val="24"/>
        </w:rPr>
      </w:pPr>
      <w:r>
        <w:rPr>
          <w:rFonts w:hint="eastAsia" w:ascii="ˎ̥" w:hAnsi="ˎ̥"/>
          <w:b/>
          <w:color w:val="000000"/>
          <w:sz w:val="24"/>
        </w:rPr>
        <w:t>本公司董事会及全体董事保证本公告内容不存在任何虚假记载、误导性陈述或者重大遗漏，并对其内容的真实性、准确性和完整性承担法律责任。</w:t>
      </w:r>
    </w:p>
    <w:p>
      <w:pPr>
        <w:autoSpaceDE w:val="0"/>
        <w:autoSpaceDN w:val="0"/>
        <w:adjustRightInd w:val="0"/>
        <w:spacing w:line="360" w:lineRule="auto"/>
        <w:ind w:firstLine="480" w:firstLineChars="200"/>
        <w:rPr>
          <w:rFonts w:asciiTheme="minorEastAsia" w:hAnsiTheme="minorEastAsia" w:eastAsiaTheme="minorEastAsia"/>
          <w:color w:val="000000"/>
          <w:sz w:val="24"/>
        </w:rPr>
      </w:pP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lang w:val="en-US" w:eastAsia="zh-CN"/>
        </w:rPr>
        <w:t>2024年1月22日</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sz w:val="24"/>
          <w:shd w:val="clear" w:color="auto" w:fill="FFFFFF"/>
        </w:rPr>
        <w:t>江苏吴中医药发展股份有限公司（以下简称“江苏吴中”）孙公司</w:t>
      </w:r>
      <w:r>
        <w:rPr>
          <w:rFonts w:hint="eastAsia" w:asciiTheme="minorEastAsia" w:hAnsiTheme="minorEastAsia" w:eastAsiaTheme="minorEastAsia" w:cstheme="minorEastAsia"/>
          <w:sz w:val="24"/>
          <w:highlight w:val="none"/>
          <w:shd w:val="clear" w:color="auto" w:fill="FFFFFF"/>
        </w:rPr>
        <w:t>达透医疗器械（深圳）有限公司（以下简称“达透医疗”）</w:t>
      </w:r>
      <w:r>
        <w:rPr>
          <w:rFonts w:hint="eastAsia" w:asciiTheme="minorEastAsia" w:hAnsiTheme="minorEastAsia" w:eastAsiaTheme="minorEastAsia" w:cstheme="minorEastAsia"/>
          <w:color w:val="000000"/>
          <w:sz w:val="24"/>
          <w:highlight w:val="none"/>
        </w:rPr>
        <w:t>收到了</w:t>
      </w:r>
      <w:r>
        <w:rPr>
          <w:rFonts w:hint="eastAsia" w:asciiTheme="minorEastAsia" w:hAnsiTheme="minorEastAsia" w:eastAsiaTheme="minorEastAsia" w:cstheme="minorEastAsia"/>
          <w:color w:val="000000"/>
          <w:sz w:val="24"/>
        </w:rPr>
        <w:t>国家药品监督管理局颁发的《医疗器械注册证》，现将有关详情公告如下：</w:t>
      </w:r>
    </w:p>
    <w:p>
      <w:pPr>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一、产品注册证具体情况</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2"/>
        <w:gridCol w:w="7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bidi="ar"/>
              </w:rPr>
              <w:t>产品名称</w:t>
            </w:r>
          </w:p>
        </w:tc>
        <w:tc>
          <w:tcPr>
            <w:tcW w:w="4005" w:type="pct"/>
            <w:vAlign w:val="center"/>
          </w:tcPr>
          <w:p>
            <w:pPr>
              <w:widowControl/>
              <w:spacing w:line="240" w:lineRule="auto"/>
              <w:jc w:val="center"/>
              <w:rPr>
                <w:rFonts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lang w:bidi="ar"/>
              </w:rPr>
              <w:t>聚乳酸面部填充剂 AestheFill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highlight w:val="none"/>
                <w:lang w:bidi="ar"/>
              </w:rPr>
              <w:t>注册证编号</w:t>
            </w:r>
          </w:p>
        </w:tc>
        <w:tc>
          <w:tcPr>
            <w:tcW w:w="400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国械注进20243130043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型号、规格</w:t>
            </w:r>
          </w:p>
        </w:tc>
        <w:tc>
          <w:tcPr>
            <w:tcW w:w="4005" w:type="pct"/>
            <w:vAlign w:val="center"/>
          </w:tcPr>
          <w:p>
            <w:pPr>
              <w:widowControl/>
              <w:spacing w:line="240" w:lineRule="auto"/>
              <w:jc w:val="left"/>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AestheFill-V100、AestheFill-V200、AestheFill-V200-RF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结构及组成</w:t>
            </w:r>
          </w:p>
        </w:tc>
        <w:tc>
          <w:tcPr>
            <w:tcW w:w="4005" w:type="pct"/>
            <w:vAlign w:val="center"/>
          </w:tcPr>
          <w:p>
            <w:pPr>
              <w:widowControl/>
              <w:spacing w:line="240" w:lineRule="auto"/>
              <w:jc w:val="left"/>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该产品为PDLLA微球和羧甲基纤维素钠组成的冻干粉，使用前需经灭菌注射用水复溶为混悬液。该产品由环氧乙烷灭菌，为一次性使用。货架有效期二年。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适用范围</w:t>
            </w:r>
          </w:p>
        </w:tc>
        <w:tc>
          <w:tcPr>
            <w:tcW w:w="4005" w:type="pct"/>
            <w:vAlign w:val="center"/>
          </w:tcPr>
          <w:p>
            <w:pPr>
              <w:widowControl/>
              <w:spacing w:line="240" w:lineRule="auto"/>
              <w:jc w:val="left"/>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本产品用于注射到面部真皮深层，以纠正中重度鼻唇沟皱纹。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注册人名称</w:t>
            </w:r>
          </w:p>
        </w:tc>
        <w:tc>
          <w:tcPr>
            <w:tcW w:w="400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（株）丽臻生物科技股份有限公司</w:t>
            </w:r>
          </w:p>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asciiTheme="minorEastAsia" w:hAnsiTheme="minorEastAsia" w:eastAsiaTheme="minorEastAsia" w:cstheme="minorEastAsia"/>
                <w:color w:val="000000"/>
                <w:kern w:val="0"/>
                <w:sz w:val="21"/>
                <w:szCs w:val="21"/>
                <w:lang w:bidi="ar"/>
              </w:rPr>
              <w:t>REGEN Biotech, Inc.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代理人名称</w:t>
            </w:r>
          </w:p>
        </w:tc>
        <w:tc>
          <w:tcPr>
            <w:tcW w:w="400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highlight w:val="none"/>
                <w:lang w:bidi="ar"/>
              </w:rPr>
            </w:pPr>
            <w:r>
              <w:rPr>
                <w:rFonts w:hint="eastAsia" w:asciiTheme="minorEastAsia" w:hAnsiTheme="minorEastAsia" w:eastAsiaTheme="minorEastAsia" w:cstheme="minorEastAsia"/>
                <w:color w:val="000000"/>
                <w:kern w:val="0"/>
                <w:sz w:val="21"/>
                <w:szCs w:val="21"/>
                <w:lang w:bidi="ar"/>
              </w:rPr>
              <w:t>达透医疗器械（深圳）有限公司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批准日期</w:t>
            </w:r>
          </w:p>
        </w:tc>
        <w:tc>
          <w:tcPr>
            <w:tcW w:w="400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w:t>
            </w:r>
            <w:r>
              <w:rPr>
                <w:rFonts w:asciiTheme="minorEastAsia" w:hAnsiTheme="minorEastAsia" w:eastAsiaTheme="minorEastAsia" w:cstheme="minorEastAsia"/>
                <w:color w:val="000000"/>
                <w:kern w:val="0"/>
                <w:sz w:val="21"/>
                <w:szCs w:val="21"/>
                <w:lang w:bidi="ar"/>
              </w:rPr>
              <w:t>024</w:t>
            </w:r>
            <w:r>
              <w:rPr>
                <w:rFonts w:hint="eastAsia" w:asciiTheme="minorEastAsia" w:hAnsiTheme="minorEastAsia" w:eastAsiaTheme="minorEastAsia" w:cstheme="minorEastAsia"/>
                <w:color w:val="000000"/>
                <w:kern w:val="0"/>
                <w:sz w:val="21"/>
                <w:szCs w:val="21"/>
                <w:lang w:bidi="ar"/>
              </w:rPr>
              <w:t>年1月1</w:t>
            </w:r>
            <w:r>
              <w:rPr>
                <w:rFonts w:asciiTheme="minorEastAsia" w:hAnsiTheme="minorEastAsia" w:eastAsiaTheme="minorEastAsia" w:cstheme="minorEastAsia"/>
                <w:color w:val="000000"/>
                <w:kern w:val="0"/>
                <w:sz w:val="21"/>
                <w:szCs w:val="21"/>
                <w:lang w:bidi="ar"/>
              </w:rPr>
              <w:t>7</w:t>
            </w:r>
            <w:r>
              <w:rPr>
                <w:rFonts w:hint="eastAsia" w:asciiTheme="minorEastAsia" w:hAnsiTheme="minorEastAsia" w:eastAsiaTheme="minorEastAsia" w:cstheme="minorEastAsia"/>
                <w:color w:val="000000"/>
                <w:kern w:val="0"/>
                <w:sz w:val="21"/>
                <w:szCs w:val="21"/>
                <w:lang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有效期至</w:t>
            </w:r>
          </w:p>
        </w:tc>
        <w:tc>
          <w:tcPr>
            <w:tcW w:w="4005" w:type="pct"/>
            <w:vAlign w:val="center"/>
          </w:tcPr>
          <w:p>
            <w:pPr>
              <w:widowControl/>
              <w:spacing w:line="240" w:lineRule="auto"/>
              <w:jc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w:t>
            </w:r>
            <w:r>
              <w:rPr>
                <w:rFonts w:asciiTheme="minorEastAsia" w:hAnsiTheme="minorEastAsia" w:eastAsiaTheme="minorEastAsia" w:cstheme="minorEastAsia"/>
                <w:color w:val="000000"/>
                <w:kern w:val="0"/>
                <w:sz w:val="21"/>
                <w:szCs w:val="21"/>
                <w:lang w:bidi="ar"/>
              </w:rPr>
              <w:t>029</w:t>
            </w:r>
            <w:r>
              <w:rPr>
                <w:rFonts w:hint="eastAsia" w:asciiTheme="minorEastAsia" w:hAnsiTheme="minorEastAsia" w:eastAsiaTheme="minorEastAsia" w:cstheme="minorEastAsia"/>
                <w:color w:val="000000"/>
                <w:kern w:val="0"/>
                <w:sz w:val="21"/>
                <w:szCs w:val="21"/>
                <w:lang w:bidi="ar"/>
              </w:rPr>
              <w:t>年1月1</w:t>
            </w:r>
            <w:r>
              <w:rPr>
                <w:rFonts w:asciiTheme="minorEastAsia" w:hAnsiTheme="minorEastAsia" w:eastAsiaTheme="minorEastAsia" w:cstheme="minorEastAsia"/>
                <w:color w:val="000000"/>
                <w:kern w:val="0"/>
                <w:sz w:val="21"/>
                <w:szCs w:val="21"/>
                <w:lang w:bidi="ar"/>
              </w:rPr>
              <w:t>6</w:t>
            </w:r>
            <w:r>
              <w:rPr>
                <w:rFonts w:hint="eastAsia" w:asciiTheme="minorEastAsia" w:hAnsiTheme="minorEastAsia" w:eastAsiaTheme="minorEastAsia" w:cstheme="minorEastAsia"/>
                <w:color w:val="000000"/>
                <w:kern w:val="0"/>
                <w:sz w:val="21"/>
                <w:szCs w:val="21"/>
                <w:lang w:bidi="ar"/>
              </w:rPr>
              <w:t>日</w:t>
            </w:r>
          </w:p>
        </w:tc>
      </w:tr>
    </w:tbl>
    <w:p>
      <w:pPr>
        <w:spacing w:line="360" w:lineRule="auto"/>
        <w:ind w:firstLine="42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1"/>
          <w:szCs w:val="21"/>
        </w:rPr>
        <w:t>注：代理人达透医疗为江苏吴中全资子公司江苏吴中美学生物科技有限公司持股5</w:t>
      </w:r>
      <w:r>
        <w:rPr>
          <w:rFonts w:asciiTheme="minorEastAsia" w:hAnsiTheme="minorEastAsia" w:eastAsiaTheme="minorEastAsia" w:cstheme="minorEastAsia"/>
          <w:sz w:val="21"/>
          <w:szCs w:val="21"/>
        </w:rPr>
        <w:t>1.0012%</w:t>
      </w:r>
      <w:r>
        <w:rPr>
          <w:rFonts w:hint="eastAsia" w:asciiTheme="minorEastAsia" w:hAnsiTheme="minorEastAsia" w:eastAsiaTheme="minorEastAsia" w:cstheme="minorEastAsia"/>
          <w:sz w:val="21"/>
          <w:szCs w:val="21"/>
        </w:rPr>
        <w:t>的子公司。</w:t>
      </w:r>
      <w:bookmarkStart w:id="0" w:name="_GoBack"/>
      <w:bookmarkEnd w:id="0"/>
    </w:p>
    <w:p>
      <w:pPr>
        <w:spacing w:line="360" w:lineRule="auto"/>
        <w:ind w:firstLine="482" w:firstLineChars="200"/>
        <w:rPr>
          <w:rFonts w:hint="eastAsia" w:asciiTheme="minorEastAsia" w:hAnsiTheme="minorEastAsia" w:eastAsiaTheme="minorEastAsia" w:cstheme="minorEastAsia"/>
          <w:b/>
          <w:bCs/>
          <w:sz w:val="24"/>
        </w:rPr>
      </w:pPr>
    </w:p>
    <w:p>
      <w:pPr>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二、</w:t>
      </w:r>
      <w:r>
        <w:rPr>
          <w:rFonts w:hint="eastAsia" w:asciiTheme="minorEastAsia" w:hAnsiTheme="minorEastAsia" w:eastAsiaTheme="minorEastAsia" w:cstheme="minorEastAsia"/>
          <w:b/>
          <w:bCs/>
          <w:sz w:val="24"/>
          <w:highlight w:val="none"/>
        </w:rPr>
        <w:t>AestheFill产品简介</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highlight w:val="none"/>
        </w:rPr>
        <w:t>AestheFill产品为韩国知名医美企业</w:t>
      </w:r>
      <w:r>
        <w:rPr>
          <w:rFonts w:asciiTheme="minorEastAsia" w:hAnsiTheme="minorEastAsia" w:eastAsiaTheme="minorEastAsia" w:cstheme="minorEastAsia"/>
          <w:sz w:val="24"/>
        </w:rPr>
        <w:t>REGEN Biotech, Inc.</w:t>
      </w:r>
      <w:r>
        <w:rPr>
          <w:rFonts w:hint="eastAsia" w:asciiTheme="minorEastAsia" w:hAnsiTheme="minorEastAsia" w:eastAsiaTheme="minorEastAsia" w:cstheme="minorEastAsia"/>
          <w:sz w:val="24"/>
        </w:rPr>
        <w:t>研发的一款“医美再生注射剂”，由PDLLA微球和羧甲基纤维素钠组成。该产品于2</w:t>
      </w:r>
      <w:r>
        <w:rPr>
          <w:rFonts w:asciiTheme="minorEastAsia" w:hAnsiTheme="minorEastAsia" w:eastAsiaTheme="minorEastAsia" w:cstheme="minorEastAsia"/>
          <w:sz w:val="24"/>
        </w:rPr>
        <w:t>014</w:t>
      </w:r>
      <w:r>
        <w:rPr>
          <w:rFonts w:hint="eastAsia" w:asciiTheme="minorEastAsia" w:hAnsiTheme="minorEastAsia" w:eastAsiaTheme="minorEastAsia" w:cstheme="minorEastAsia"/>
          <w:sz w:val="24"/>
        </w:rPr>
        <w:t>年首次在韩国获批上市，截至目前已在全球6</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余个国家和地区上市销售。</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医美再生注射剂”是一种以生物刺激性材料为主要成分，通过微球刺激人体自身胶原蛋白的再生从而起到重塑紧致、美容抗衰作用的皮肤填充剂。目前全球范围内已上市的医美再生注射剂主要产品的微球粒子可分为PLLA、PDLLA、PCL和羟基磷灰石四大类。其中，海外广受欢迎的最新一代再生材料PDLLA微球，由于呈海绵状多孔微球结构的特性，相同质量下体积更大，即刻塑形效果更为明显，且能够促使胶原纤维沿着多孔微球结构生长进微球内部，从而更有效地促进胶原蛋白的再生;此外，PDLLA在全球拥有丰富的多浓度使用临床经验，可根据面部不同组织的软硬程度制定多种浓度的复配方案，实现个性化定制，在中国台湾地区市场又称“百变童颜”。据头豹研究院发布的《2</w:t>
      </w:r>
      <w:r>
        <w:rPr>
          <w:rFonts w:asciiTheme="minorEastAsia" w:hAnsiTheme="minorEastAsia" w:eastAsiaTheme="minorEastAsia" w:cstheme="minorEastAsia"/>
          <w:sz w:val="24"/>
        </w:rPr>
        <w:t>023</w:t>
      </w:r>
      <w:r>
        <w:rPr>
          <w:rFonts w:hint="eastAsia" w:asciiTheme="minorEastAsia" w:hAnsiTheme="minorEastAsia" w:eastAsiaTheme="minorEastAsia" w:cstheme="minorEastAsia"/>
          <w:sz w:val="24"/>
        </w:rPr>
        <w:t>年中国医美再生注射剂行业概览》，AestheFill在中国台湾地区“医美再生注射剂”市场以接近3</w:t>
      </w:r>
      <w:r>
        <w:rPr>
          <w:rFonts w:asciiTheme="minorEastAsia" w:hAnsiTheme="minorEastAsia" w:eastAsiaTheme="minorEastAsia" w:cstheme="minorEastAsia"/>
          <w:sz w:val="24"/>
        </w:rPr>
        <w:t>0%</w:t>
      </w:r>
      <w:r>
        <w:rPr>
          <w:rFonts w:hint="eastAsia" w:asciiTheme="minorEastAsia" w:hAnsiTheme="minorEastAsia" w:eastAsiaTheme="minorEastAsia" w:cstheme="minorEastAsia"/>
          <w:sz w:val="24"/>
        </w:rPr>
        <w:t>的份额排名第一，且终端价格区间高于同类“医美再生注射剂”产品Sculptra和</w:t>
      </w:r>
      <w:r>
        <w:rPr>
          <w:rFonts w:asciiTheme="minorEastAsia" w:hAnsiTheme="minorEastAsia" w:eastAsiaTheme="minorEastAsia" w:cstheme="minorEastAsia"/>
          <w:sz w:val="24"/>
        </w:rPr>
        <w:t>Ellansé</w:t>
      </w:r>
      <w:r>
        <w:rPr>
          <w:rFonts w:hint="eastAsia" w:asciiTheme="minorEastAsia" w:hAnsiTheme="minorEastAsia" w:eastAsiaTheme="minorEastAsia" w:cstheme="minorEastAsia"/>
          <w:sz w:val="24"/>
        </w:rPr>
        <w:t>。</w:t>
      </w:r>
    </w:p>
    <w:p>
      <w:pPr>
        <w:spacing w:line="360" w:lineRule="auto"/>
        <w:ind w:firstLine="482" w:firstLineChars="200"/>
        <w:rPr>
          <w:rFonts w:asciiTheme="minorEastAsia" w:hAnsiTheme="minorEastAsia" w:eastAsiaTheme="minorEastAsia" w:cstheme="minorEastAsia"/>
          <w:b/>
          <w:bCs/>
          <w:sz w:val="24"/>
          <w:highlight w:val="none"/>
        </w:rPr>
      </w:pPr>
    </w:p>
    <w:p>
      <w:pPr>
        <w:spacing w:line="360" w:lineRule="auto"/>
        <w:ind w:firstLine="482" w:firstLineChars="200"/>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b/>
          <w:bCs/>
          <w:sz w:val="24"/>
          <w:highlight w:val="none"/>
        </w:rPr>
        <w:t>三、对上市公司的影响及风险提示</w:t>
      </w:r>
    </w:p>
    <w:p>
      <w:pPr>
        <w:spacing w:line="360" w:lineRule="auto"/>
        <w:ind w:firstLine="480" w:firstLineChars="200"/>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AestheFill产品注册证的取得，有利于进一步增强公司医美生科产品在国内的市场拓展与综合竞争力，对公司医美生科业务发展具有积极正面影响，但对近期的经营和业绩不会产生重大影响。公司已准备好AestheFill的上市相关推广工作，将尽快安排其韩国原厂按照中国监管要求开展AestheFill产品的生产并出口中国的工作，预计将于2024年上半年在中国大陆正式上市销售。产品上市后实际销售情况取决于未来的市场推广效果，敬请投资者注意投资风险。</w:t>
      </w:r>
    </w:p>
    <w:p>
      <w:pPr>
        <w:spacing w:line="360" w:lineRule="auto"/>
        <w:ind w:firstLine="480" w:firstLineChars="200"/>
        <w:rPr>
          <w:rFonts w:asciiTheme="minorEastAsia" w:hAnsiTheme="minorEastAsia" w:eastAsiaTheme="minorEastAsia" w:cstheme="minorEastAsia"/>
          <w:sz w:val="24"/>
        </w:rPr>
      </w:pP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特此公告。</w:t>
      </w:r>
    </w:p>
    <w:p>
      <w:pPr>
        <w:spacing w:line="360" w:lineRule="auto"/>
        <w:ind w:right="-147" w:rightChars="-70" w:firstLine="480" w:firstLineChars="200"/>
        <w:rPr>
          <w:rFonts w:asciiTheme="minorEastAsia" w:hAnsiTheme="minorEastAsia" w:eastAsiaTheme="minorEastAsia" w:cstheme="minorEastAsia"/>
          <w:color w:val="000000"/>
          <w:sz w:val="24"/>
        </w:rPr>
      </w:pPr>
    </w:p>
    <w:p>
      <w:pPr>
        <w:spacing w:line="360" w:lineRule="auto"/>
        <w:ind w:firstLine="480" w:firstLineChars="200"/>
        <w:jc w:val="left"/>
        <w:rPr>
          <w:rFonts w:asciiTheme="minorEastAsia" w:hAnsiTheme="minorEastAsia" w:eastAsiaTheme="minorEastAsia" w:cstheme="minorEastAsia"/>
          <w:sz w:val="24"/>
        </w:rPr>
      </w:pPr>
    </w:p>
    <w:p>
      <w:pPr>
        <w:spacing w:line="360" w:lineRule="auto"/>
        <w:ind w:firstLine="480" w:firstLineChars="200"/>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江苏吴中医药发展股份有限公司</w:t>
      </w:r>
    </w:p>
    <w:p>
      <w:pPr>
        <w:wordWrap w:val="0"/>
        <w:spacing w:line="360" w:lineRule="auto"/>
        <w:ind w:right="480" w:firstLine="480" w:firstLineChars="200"/>
        <w:jc w:val="righ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董事会      </w:t>
      </w:r>
    </w:p>
    <w:p>
      <w:pPr>
        <w:spacing w:line="360" w:lineRule="auto"/>
        <w:ind w:right="480" w:firstLine="480" w:firstLineChars="200"/>
        <w:jc w:val="center"/>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                                              2024年1月23日</w:t>
      </w:r>
    </w:p>
    <w:p>
      <w:pPr>
        <w:spacing w:line="360" w:lineRule="auto"/>
        <w:rPr>
          <w:rFonts w:asciiTheme="minorEastAsia" w:hAnsiTheme="minorEastAsia" w:eastAsiaTheme="minorEastAsia"/>
          <w:sz w:val="24"/>
        </w:rPr>
      </w:pPr>
    </w:p>
    <w:p>
      <w:pPr>
        <w:autoSpaceDE w:val="0"/>
        <w:autoSpaceDN w:val="0"/>
        <w:adjustRightInd w:val="0"/>
        <w:spacing w:line="360" w:lineRule="auto"/>
        <w:ind w:firstLine="420" w:firstLineChars="200"/>
      </w:pPr>
    </w:p>
    <w:sectPr>
      <w:footerReference r:id="rId3" w:type="default"/>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EwMDkyNTZjMzMwNGNiNWI4YzBkN2FjZjU1MzgyMDgifQ=="/>
  </w:docVars>
  <w:rsids>
    <w:rsidRoot w:val="00265A75"/>
    <w:rsid w:val="000052DC"/>
    <w:rsid w:val="0001153F"/>
    <w:rsid w:val="00015559"/>
    <w:rsid w:val="0003171D"/>
    <w:rsid w:val="00034EAF"/>
    <w:rsid w:val="000377FA"/>
    <w:rsid w:val="000514F9"/>
    <w:rsid w:val="0007113B"/>
    <w:rsid w:val="0007554B"/>
    <w:rsid w:val="00077985"/>
    <w:rsid w:val="000A7475"/>
    <w:rsid w:val="000C1EBF"/>
    <w:rsid w:val="000D5160"/>
    <w:rsid w:val="000D59A8"/>
    <w:rsid w:val="000E5928"/>
    <w:rsid w:val="001044FC"/>
    <w:rsid w:val="00115DE0"/>
    <w:rsid w:val="00123A34"/>
    <w:rsid w:val="00125BE8"/>
    <w:rsid w:val="00125EB5"/>
    <w:rsid w:val="001302DF"/>
    <w:rsid w:val="00141A30"/>
    <w:rsid w:val="0014235B"/>
    <w:rsid w:val="001449C0"/>
    <w:rsid w:val="00151157"/>
    <w:rsid w:val="00163205"/>
    <w:rsid w:val="001677EE"/>
    <w:rsid w:val="00167B35"/>
    <w:rsid w:val="001741A0"/>
    <w:rsid w:val="00184711"/>
    <w:rsid w:val="00190F6C"/>
    <w:rsid w:val="00194544"/>
    <w:rsid w:val="001A6F91"/>
    <w:rsid w:val="001C16DA"/>
    <w:rsid w:val="001D198B"/>
    <w:rsid w:val="001E49FF"/>
    <w:rsid w:val="001F698F"/>
    <w:rsid w:val="00201E57"/>
    <w:rsid w:val="002101B8"/>
    <w:rsid w:val="00227A64"/>
    <w:rsid w:val="002343EA"/>
    <w:rsid w:val="002442A3"/>
    <w:rsid w:val="00251C73"/>
    <w:rsid w:val="00256018"/>
    <w:rsid w:val="002561CC"/>
    <w:rsid w:val="0025726D"/>
    <w:rsid w:val="0025795B"/>
    <w:rsid w:val="002603E5"/>
    <w:rsid w:val="00265A75"/>
    <w:rsid w:val="00266464"/>
    <w:rsid w:val="00270486"/>
    <w:rsid w:val="0027220C"/>
    <w:rsid w:val="002808AB"/>
    <w:rsid w:val="00284CD2"/>
    <w:rsid w:val="002B5713"/>
    <w:rsid w:val="002B7CCB"/>
    <w:rsid w:val="002C71E7"/>
    <w:rsid w:val="002D2369"/>
    <w:rsid w:val="002D269B"/>
    <w:rsid w:val="002D4C8C"/>
    <w:rsid w:val="002E247E"/>
    <w:rsid w:val="002F64AF"/>
    <w:rsid w:val="002F74DC"/>
    <w:rsid w:val="00324EB8"/>
    <w:rsid w:val="003307ED"/>
    <w:rsid w:val="003334F6"/>
    <w:rsid w:val="003402E8"/>
    <w:rsid w:val="00353BA1"/>
    <w:rsid w:val="00360937"/>
    <w:rsid w:val="00363847"/>
    <w:rsid w:val="0037324C"/>
    <w:rsid w:val="00373349"/>
    <w:rsid w:val="0038210C"/>
    <w:rsid w:val="003870CC"/>
    <w:rsid w:val="003B1D84"/>
    <w:rsid w:val="003B5345"/>
    <w:rsid w:val="003C607D"/>
    <w:rsid w:val="003D0C3B"/>
    <w:rsid w:val="003D3FFF"/>
    <w:rsid w:val="003D798A"/>
    <w:rsid w:val="003E2FD2"/>
    <w:rsid w:val="003E355B"/>
    <w:rsid w:val="0041720E"/>
    <w:rsid w:val="0042410C"/>
    <w:rsid w:val="004374BE"/>
    <w:rsid w:val="00444265"/>
    <w:rsid w:val="004502F4"/>
    <w:rsid w:val="00475AC0"/>
    <w:rsid w:val="00496E8A"/>
    <w:rsid w:val="004A41EF"/>
    <w:rsid w:val="004B70B1"/>
    <w:rsid w:val="004C0C76"/>
    <w:rsid w:val="004C27B9"/>
    <w:rsid w:val="004C3A3E"/>
    <w:rsid w:val="004C3DB4"/>
    <w:rsid w:val="004D2BA0"/>
    <w:rsid w:val="004E363D"/>
    <w:rsid w:val="004F1ED6"/>
    <w:rsid w:val="004F1F15"/>
    <w:rsid w:val="004F65E5"/>
    <w:rsid w:val="005014D1"/>
    <w:rsid w:val="0054211F"/>
    <w:rsid w:val="00542DA0"/>
    <w:rsid w:val="0054311D"/>
    <w:rsid w:val="005477DA"/>
    <w:rsid w:val="00555131"/>
    <w:rsid w:val="00557690"/>
    <w:rsid w:val="005712CB"/>
    <w:rsid w:val="0057353C"/>
    <w:rsid w:val="005737FA"/>
    <w:rsid w:val="00577CBB"/>
    <w:rsid w:val="00580E39"/>
    <w:rsid w:val="00591636"/>
    <w:rsid w:val="005B4F18"/>
    <w:rsid w:val="005C3668"/>
    <w:rsid w:val="005D0EF7"/>
    <w:rsid w:val="005D417A"/>
    <w:rsid w:val="005D4ACB"/>
    <w:rsid w:val="005D5EDA"/>
    <w:rsid w:val="005E4AFF"/>
    <w:rsid w:val="00606509"/>
    <w:rsid w:val="00615D49"/>
    <w:rsid w:val="00625DBF"/>
    <w:rsid w:val="006412D7"/>
    <w:rsid w:val="006446F0"/>
    <w:rsid w:val="00645C77"/>
    <w:rsid w:val="00650344"/>
    <w:rsid w:val="00662769"/>
    <w:rsid w:val="00663516"/>
    <w:rsid w:val="0067327D"/>
    <w:rsid w:val="00682D83"/>
    <w:rsid w:val="00683AED"/>
    <w:rsid w:val="0069424B"/>
    <w:rsid w:val="00695D72"/>
    <w:rsid w:val="006A4EA1"/>
    <w:rsid w:val="006B29CA"/>
    <w:rsid w:val="006B2B65"/>
    <w:rsid w:val="006B7491"/>
    <w:rsid w:val="006C1D25"/>
    <w:rsid w:val="006E12CC"/>
    <w:rsid w:val="007001F0"/>
    <w:rsid w:val="007014FC"/>
    <w:rsid w:val="00701AFE"/>
    <w:rsid w:val="00712B2A"/>
    <w:rsid w:val="007230C3"/>
    <w:rsid w:val="00742761"/>
    <w:rsid w:val="0075060C"/>
    <w:rsid w:val="007564B5"/>
    <w:rsid w:val="0076676A"/>
    <w:rsid w:val="00766EEB"/>
    <w:rsid w:val="00772A33"/>
    <w:rsid w:val="0078609E"/>
    <w:rsid w:val="007918EE"/>
    <w:rsid w:val="007968F4"/>
    <w:rsid w:val="007A1575"/>
    <w:rsid w:val="007C79A9"/>
    <w:rsid w:val="007C7BAF"/>
    <w:rsid w:val="007E3476"/>
    <w:rsid w:val="00802A0A"/>
    <w:rsid w:val="00824AB0"/>
    <w:rsid w:val="008378DC"/>
    <w:rsid w:val="008412C9"/>
    <w:rsid w:val="00887DA0"/>
    <w:rsid w:val="00893296"/>
    <w:rsid w:val="008935D4"/>
    <w:rsid w:val="008A72B1"/>
    <w:rsid w:val="008B3703"/>
    <w:rsid w:val="008B43ED"/>
    <w:rsid w:val="008B4735"/>
    <w:rsid w:val="008C0E07"/>
    <w:rsid w:val="008E57CC"/>
    <w:rsid w:val="008F5155"/>
    <w:rsid w:val="008F6AB5"/>
    <w:rsid w:val="00904870"/>
    <w:rsid w:val="00933FA5"/>
    <w:rsid w:val="00934104"/>
    <w:rsid w:val="0094672C"/>
    <w:rsid w:val="00955A3F"/>
    <w:rsid w:val="00960430"/>
    <w:rsid w:val="00967AA4"/>
    <w:rsid w:val="00995DC5"/>
    <w:rsid w:val="009E1FA0"/>
    <w:rsid w:val="009E3014"/>
    <w:rsid w:val="009F0BB3"/>
    <w:rsid w:val="00A05A16"/>
    <w:rsid w:val="00A1341B"/>
    <w:rsid w:val="00A13AC5"/>
    <w:rsid w:val="00A1423D"/>
    <w:rsid w:val="00A204FB"/>
    <w:rsid w:val="00A205C1"/>
    <w:rsid w:val="00A206E4"/>
    <w:rsid w:val="00A267F9"/>
    <w:rsid w:val="00A31603"/>
    <w:rsid w:val="00A34683"/>
    <w:rsid w:val="00A36051"/>
    <w:rsid w:val="00A37AD5"/>
    <w:rsid w:val="00A37C3C"/>
    <w:rsid w:val="00A42891"/>
    <w:rsid w:val="00A51FF0"/>
    <w:rsid w:val="00A72475"/>
    <w:rsid w:val="00A842DF"/>
    <w:rsid w:val="00A84979"/>
    <w:rsid w:val="00A950B9"/>
    <w:rsid w:val="00A973BC"/>
    <w:rsid w:val="00AA10D4"/>
    <w:rsid w:val="00AA706B"/>
    <w:rsid w:val="00AB0CFB"/>
    <w:rsid w:val="00AB15F8"/>
    <w:rsid w:val="00AB2664"/>
    <w:rsid w:val="00AB53AC"/>
    <w:rsid w:val="00AB6C97"/>
    <w:rsid w:val="00AC11D0"/>
    <w:rsid w:val="00AC7ABF"/>
    <w:rsid w:val="00AD0003"/>
    <w:rsid w:val="00AE1FF9"/>
    <w:rsid w:val="00AF45BF"/>
    <w:rsid w:val="00AF476E"/>
    <w:rsid w:val="00B03668"/>
    <w:rsid w:val="00B07E79"/>
    <w:rsid w:val="00B27494"/>
    <w:rsid w:val="00B31A8D"/>
    <w:rsid w:val="00B369BE"/>
    <w:rsid w:val="00B40795"/>
    <w:rsid w:val="00B52013"/>
    <w:rsid w:val="00B57C2F"/>
    <w:rsid w:val="00B83EF8"/>
    <w:rsid w:val="00B87AB6"/>
    <w:rsid w:val="00BA46C7"/>
    <w:rsid w:val="00BB5C59"/>
    <w:rsid w:val="00BB5E17"/>
    <w:rsid w:val="00BB5F62"/>
    <w:rsid w:val="00BC7D27"/>
    <w:rsid w:val="00BD4209"/>
    <w:rsid w:val="00BE7989"/>
    <w:rsid w:val="00BF5380"/>
    <w:rsid w:val="00BF68F7"/>
    <w:rsid w:val="00C01D90"/>
    <w:rsid w:val="00C1036D"/>
    <w:rsid w:val="00C14435"/>
    <w:rsid w:val="00C442D1"/>
    <w:rsid w:val="00C62BAA"/>
    <w:rsid w:val="00C65924"/>
    <w:rsid w:val="00C66833"/>
    <w:rsid w:val="00C6792D"/>
    <w:rsid w:val="00C71DAA"/>
    <w:rsid w:val="00C745A9"/>
    <w:rsid w:val="00C770B6"/>
    <w:rsid w:val="00C77455"/>
    <w:rsid w:val="00C8490D"/>
    <w:rsid w:val="00C84E9B"/>
    <w:rsid w:val="00C875F5"/>
    <w:rsid w:val="00CA1004"/>
    <w:rsid w:val="00CB2DCE"/>
    <w:rsid w:val="00CC65AD"/>
    <w:rsid w:val="00CC7C0B"/>
    <w:rsid w:val="00CD2A4D"/>
    <w:rsid w:val="00CD5891"/>
    <w:rsid w:val="00CD607E"/>
    <w:rsid w:val="00CD6EAB"/>
    <w:rsid w:val="00CD7F62"/>
    <w:rsid w:val="00CE4D8A"/>
    <w:rsid w:val="00CF2676"/>
    <w:rsid w:val="00CF42BE"/>
    <w:rsid w:val="00CF7E7A"/>
    <w:rsid w:val="00D04CBB"/>
    <w:rsid w:val="00D05E2F"/>
    <w:rsid w:val="00D141A5"/>
    <w:rsid w:val="00D21B8D"/>
    <w:rsid w:val="00D26D15"/>
    <w:rsid w:val="00D3212E"/>
    <w:rsid w:val="00D45281"/>
    <w:rsid w:val="00D53DC4"/>
    <w:rsid w:val="00D601FE"/>
    <w:rsid w:val="00D6753A"/>
    <w:rsid w:val="00D70321"/>
    <w:rsid w:val="00D7040A"/>
    <w:rsid w:val="00D71559"/>
    <w:rsid w:val="00D73864"/>
    <w:rsid w:val="00D77523"/>
    <w:rsid w:val="00D819D3"/>
    <w:rsid w:val="00D86A2F"/>
    <w:rsid w:val="00D909E7"/>
    <w:rsid w:val="00D90BC6"/>
    <w:rsid w:val="00D92B06"/>
    <w:rsid w:val="00DC0757"/>
    <w:rsid w:val="00DC6978"/>
    <w:rsid w:val="00DC78C3"/>
    <w:rsid w:val="00DD409A"/>
    <w:rsid w:val="00DE24B3"/>
    <w:rsid w:val="00DE3893"/>
    <w:rsid w:val="00DF08C9"/>
    <w:rsid w:val="00E003D0"/>
    <w:rsid w:val="00E025CD"/>
    <w:rsid w:val="00E05034"/>
    <w:rsid w:val="00E220DE"/>
    <w:rsid w:val="00E26F68"/>
    <w:rsid w:val="00E31233"/>
    <w:rsid w:val="00E373CB"/>
    <w:rsid w:val="00E74755"/>
    <w:rsid w:val="00E74E4D"/>
    <w:rsid w:val="00E77D37"/>
    <w:rsid w:val="00E90C0B"/>
    <w:rsid w:val="00E915EA"/>
    <w:rsid w:val="00E9529E"/>
    <w:rsid w:val="00E96761"/>
    <w:rsid w:val="00E97E93"/>
    <w:rsid w:val="00EA6444"/>
    <w:rsid w:val="00EB0FB2"/>
    <w:rsid w:val="00EB7FBA"/>
    <w:rsid w:val="00ED4428"/>
    <w:rsid w:val="00EF67AA"/>
    <w:rsid w:val="00F03FA2"/>
    <w:rsid w:val="00F07A0E"/>
    <w:rsid w:val="00F11687"/>
    <w:rsid w:val="00F13C59"/>
    <w:rsid w:val="00F161EE"/>
    <w:rsid w:val="00F168FB"/>
    <w:rsid w:val="00F21312"/>
    <w:rsid w:val="00F23D77"/>
    <w:rsid w:val="00F25681"/>
    <w:rsid w:val="00F41B3B"/>
    <w:rsid w:val="00F43502"/>
    <w:rsid w:val="00F642E6"/>
    <w:rsid w:val="00F7150E"/>
    <w:rsid w:val="00F75621"/>
    <w:rsid w:val="00F75B8D"/>
    <w:rsid w:val="00F7601B"/>
    <w:rsid w:val="00F84401"/>
    <w:rsid w:val="00F92A30"/>
    <w:rsid w:val="00FA5496"/>
    <w:rsid w:val="00FB56C5"/>
    <w:rsid w:val="00FB79DD"/>
    <w:rsid w:val="00FD17D4"/>
    <w:rsid w:val="00FD212D"/>
    <w:rsid w:val="00FE4FBE"/>
    <w:rsid w:val="00FE57F0"/>
    <w:rsid w:val="00FE5ACA"/>
    <w:rsid w:val="00FF4417"/>
    <w:rsid w:val="08DD09D6"/>
    <w:rsid w:val="0A9725E8"/>
    <w:rsid w:val="0BEA22BB"/>
    <w:rsid w:val="0C430CAB"/>
    <w:rsid w:val="0E9605DB"/>
    <w:rsid w:val="0FAE4E7B"/>
    <w:rsid w:val="1A5F124B"/>
    <w:rsid w:val="22001566"/>
    <w:rsid w:val="223235A5"/>
    <w:rsid w:val="25DC5E46"/>
    <w:rsid w:val="27027B2E"/>
    <w:rsid w:val="274B1F30"/>
    <w:rsid w:val="29422658"/>
    <w:rsid w:val="2BC44FC6"/>
    <w:rsid w:val="2D66548D"/>
    <w:rsid w:val="2F8C268B"/>
    <w:rsid w:val="30A14707"/>
    <w:rsid w:val="3233535A"/>
    <w:rsid w:val="36CC7811"/>
    <w:rsid w:val="37DB378F"/>
    <w:rsid w:val="38DE55D9"/>
    <w:rsid w:val="3B381919"/>
    <w:rsid w:val="3B4E4C98"/>
    <w:rsid w:val="3B903503"/>
    <w:rsid w:val="40414DCB"/>
    <w:rsid w:val="41313092"/>
    <w:rsid w:val="428B4A24"/>
    <w:rsid w:val="47C00CCC"/>
    <w:rsid w:val="4AE7450F"/>
    <w:rsid w:val="4EFD0A57"/>
    <w:rsid w:val="56B539C6"/>
    <w:rsid w:val="5A6809CC"/>
    <w:rsid w:val="5B2F1F99"/>
    <w:rsid w:val="5FA359FE"/>
    <w:rsid w:val="5FB011CE"/>
    <w:rsid w:val="692A0243"/>
    <w:rsid w:val="696A6892"/>
    <w:rsid w:val="6A152CA1"/>
    <w:rsid w:val="6F2E5B56"/>
    <w:rsid w:val="7C6B49A3"/>
    <w:rsid w:val="7DFA5FDE"/>
    <w:rsid w:val="7EB919F5"/>
    <w:rsid w:val="7FA72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basedOn w:val="6"/>
    <w:link w:val="2"/>
    <w:autoRedefine/>
    <w:qFormat/>
    <w:uiPriority w:val="99"/>
    <w:rPr>
      <w:rFonts w:ascii="Times New Roman" w:hAnsi="Times New Roman" w:eastAsia="宋体" w:cs="Times New Roman"/>
      <w:sz w:val="18"/>
      <w:szCs w:val="18"/>
    </w:rPr>
  </w:style>
  <w:style w:type="character" w:customStyle="1" w:styleId="8">
    <w:name w:val="页眉 字符"/>
    <w:basedOn w:val="6"/>
    <w:link w:val="3"/>
    <w:autoRedefine/>
    <w:qFormat/>
    <w:uiPriority w:val="99"/>
    <w:rPr>
      <w:rFonts w:ascii="Times New Roman" w:hAnsi="Times New Roman" w:eastAsia="宋体" w:cs="Times New Roman"/>
      <w:sz w:val="18"/>
      <w:szCs w:val="18"/>
    </w:rPr>
  </w:style>
  <w:style w:type="paragraph" w:customStyle="1" w:styleId="9">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310</Words>
  <Characters>1770</Characters>
  <Lines>14</Lines>
  <Paragraphs>4</Paragraphs>
  <TotalTime>49</TotalTime>
  <ScaleCrop>false</ScaleCrop>
  <LinksUpToDate>false</LinksUpToDate>
  <CharactersWithSpaces>2076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2024-01-22T05:36:00Z</dcterms:created>
  <dc:creator>李锐</dc:creator>
  <cp:lastModifiedBy>王雅杰</cp:lastModifiedBy>
  <cp:lastPrinted>2024-01-22T06:30:00Z</cp:lastPrinted>
  <dcterms:modified xsi:type="dcterms:W3CDTF">2024-01-22T06:59:01Z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5C4CC63195C941C1B5DE117CF5465606_13</vt:lpwstr>
  </property>
</Properties>
</file>