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A20" w:rsidRDefault="00BE0A20" w:rsidP="00BE0A20">
      <w:pPr>
        <w:spacing w:line="360" w:lineRule="auto"/>
        <w:ind w:rightChars="-73" w:right="-153"/>
        <w:jc w:val="center"/>
        <w:rPr>
          <w:rFonts w:ascii="黑体" w:eastAsia="黑体" w:hAnsi="宋体"/>
          <w:b/>
          <w:bCs/>
          <w:color w:val="FF0000"/>
          <w:sz w:val="32"/>
        </w:rPr>
      </w:pPr>
      <w:r w:rsidRPr="00D7630B">
        <w:rPr>
          <w:rFonts w:ascii="宋体" w:hAnsi="宋体" w:cs="宋体" w:hint="eastAsia"/>
          <w:color w:val="000000"/>
          <w:kern w:val="0"/>
          <w:sz w:val="24"/>
        </w:rPr>
        <w:t xml:space="preserve">证券代码：600200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证券简称：江苏吴中  </w:t>
      </w:r>
      <w:r>
        <w:rPr>
          <w:rFonts w:ascii="宋体" w:hAnsi="宋体" w:cs="宋体" w:hint="eastAsia"/>
          <w:color w:val="000000"/>
          <w:kern w:val="0"/>
          <w:sz w:val="24"/>
        </w:rPr>
        <w:t xml:space="preserve">    </w:t>
      </w:r>
      <w:r w:rsidRPr="00AC119C">
        <w:rPr>
          <w:rFonts w:ascii="宋体" w:hAnsi="宋体" w:cs="宋体" w:hint="eastAsia"/>
          <w:color w:val="000000"/>
          <w:kern w:val="0"/>
          <w:sz w:val="24"/>
        </w:rPr>
        <w:t>公告编号</w:t>
      </w:r>
      <w:r w:rsidRPr="00CC491C">
        <w:rPr>
          <w:rFonts w:ascii="宋体" w:hAnsi="宋体" w:cs="宋体" w:hint="eastAsia"/>
          <w:color w:val="000000"/>
          <w:kern w:val="0"/>
          <w:sz w:val="24"/>
        </w:rPr>
        <w:t>：</w:t>
      </w:r>
      <w:r w:rsidRPr="007D55E2">
        <w:rPr>
          <w:rFonts w:ascii="宋体" w:hAnsi="宋体" w:cs="宋体" w:hint="eastAsia"/>
          <w:color w:val="000000"/>
          <w:kern w:val="0"/>
          <w:sz w:val="24"/>
        </w:rPr>
        <w:t>临2021-0</w:t>
      </w:r>
      <w:r>
        <w:rPr>
          <w:rFonts w:ascii="宋体" w:hAnsi="宋体" w:cs="宋体" w:hint="eastAsia"/>
          <w:color w:val="000000"/>
          <w:kern w:val="0"/>
          <w:sz w:val="24"/>
        </w:rPr>
        <w:t>5</w:t>
      </w:r>
      <w:r w:rsidR="00E56C3B">
        <w:rPr>
          <w:rFonts w:ascii="宋体" w:hAnsi="宋体" w:cs="宋体" w:hint="eastAsia"/>
          <w:color w:val="000000"/>
          <w:kern w:val="0"/>
          <w:sz w:val="24"/>
        </w:rPr>
        <w:t>5</w:t>
      </w:r>
    </w:p>
    <w:p w:rsidR="00BE0A20" w:rsidRDefault="00BE0A20" w:rsidP="00BE0A20">
      <w:pPr>
        <w:spacing w:line="360" w:lineRule="auto"/>
        <w:ind w:rightChars="-73" w:right="-153"/>
        <w:jc w:val="center"/>
        <w:rPr>
          <w:rFonts w:ascii="黑体" w:eastAsia="黑体" w:hAnsi="宋体"/>
          <w:b/>
          <w:bCs/>
          <w:color w:val="FF0000"/>
          <w:sz w:val="32"/>
        </w:rPr>
      </w:pPr>
    </w:p>
    <w:p w:rsidR="00BE0A20" w:rsidRDefault="00BE0A20" w:rsidP="00BE0A20">
      <w:pPr>
        <w:spacing w:line="360" w:lineRule="auto"/>
        <w:ind w:rightChars="-73" w:right="-153"/>
        <w:jc w:val="center"/>
        <w:rPr>
          <w:rFonts w:ascii="黑体" w:eastAsia="黑体" w:hAnsi="宋体"/>
          <w:b/>
          <w:bCs/>
          <w:color w:val="FF0000"/>
          <w:sz w:val="32"/>
        </w:rPr>
      </w:pPr>
      <w:r w:rsidRPr="008844E4">
        <w:rPr>
          <w:rFonts w:ascii="黑体" w:eastAsia="黑体" w:hAnsi="宋体" w:hint="eastAsia"/>
          <w:b/>
          <w:bCs/>
          <w:color w:val="FF0000"/>
          <w:sz w:val="32"/>
        </w:rPr>
        <w:t>江苏吴中</w:t>
      </w:r>
      <w:r>
        <w:rPr>
          <w:rFonts w:ascii="黑体" w:eastAsia="黑体" w:hAnsi="宋体" w:hint="eastAsia"/>
          <w:b/>
          <w:bCs/>
          <w:color w:val="FF0000"/>
          <w:sz w:val="32"/>
        </w:rPr>
        <w:t>医药发展</w:t>
      </w:r>
      <w:r w:rsidRPr="008844E4">
        <w:rPr>
          <w:rFonts w:ascii="黑体" w:eastAsia="黑体" w:hAnsi="宋体" w:hint="eastAsia"/>
          <w:b/>
          <w:bCs/>
          <w:color w:val="FF0000"/>
          <w:sz w:val="32"/>
        </w:rPr>
        <w:t>股份有限公司</w:t>
      </w:r>
    </w:p>
    <w:p w:rsidR="00BE0A20" w:rsidRPr="00A527F1" w:rsidRDefault="00BE0A20" w:rsidP="00BE0A20">
      <w:pPr>
        <w:spacing w:line="360" w:lineRule="auto"/>
        <w:ind w:rightChars="-73" w:right="-153"/>
        <w:jc w:val="center"/>
        <w:rPr>
          <w:rFonts w:ascii="黑体" w:eastAsia="黑体" w:hAnsi="宋体"/>
          <w:b/>
          <w:bCs/>
          <w:color w:val="FF0000"/>
          <w:sz w:val="32"/>
        </w:rPr>
      </w:pPr>
      <w:r w:rsidRPr="00BE0A20">
        <w:rPr>
          <w:rFonts w:ascii="黑体" w:eastAsia="黑体" w:hAnsi="宋体" w:hint="eastAsia"/>
          <w:b/>
          <w:bCs/>
          <w:color w:val="FF0000"/>
          <w:sz w:val="32"/>
        </w:rPr>
        <w:t>关于使用闲置自有资金进行现金管理的公告</w:t>
      </w:r>
    </w:p>
    <w:p w:rsidR="00BE0A20" w:rsidRDefault="00BE0A20" w:rsidP="00BE0A20">
      <w:pPr>
        <w:autoSpaceDE w:val="0"/>
        <w:autoSpaceDN w:val="0"/>
        <w:adjustRightInd w:val="0"/>
        <w:spacing w:line="360" w:lineRule="auto"/>
        <w:ind w:firstLineChars="200" w:firstLine="482"/>
        <w:rPr>
          <w:rFonts w:ascii="ˎ̥" w:hAnsi="ˎ̥" w:hint="eastAsia"/>
          <w:b/>
          <w:sz w:val="24"/>
        </w:rPr>
      </w:pPr>
    </w:p>
    <w:p w:rsidR="00BE0A20" w:rsidRDefault="00BE0A20" w:rsidP="00BE0A20">
      <w:pPr>
        <w:autoSpaceDE w:val="0"/>
        <w:autoSpaceDN w:val="0"/>
        <w:adjustRightInd w:val="0"/>
        <w:spacing w:line="360" w:lineRule="auto"/>
        <w:ind w:firstLineChars="200" w:firstLine="482"/>
        <w:rPr>
          <w:rFonts w:ascii="ˎ̥" w:hAnsi="ˎ̥" w:hint="eastAsia"/>
          <w:b/>
          <w:sz w:val="24"/>
        </w:rPr>
      </w:pPr>
      <w:r w:rsidRPr="00D7630B">
        <w:rPr>
          <w:rFonts w:ascii="ˎ̥" w:hAnsi="ˎ̥" w:hint="eastAsia"/>
          <w:b/>
          <w:sz w:val="24"/>
        </w:rPr>
        <w:t>本公司</w:t>
      </w:r>
      <w:r>
        <w:rPr>
          <w:rFonts w:ascii="ˎ̥" w:hAnsi="ˎ̥" w:hint="eastAsia"/>
          <w:b/>
          <w:sz w:val="24"/>
        </w:rPr>
        <w:t>董事会</w:t>
      </w:r>
      <w:r w:rsidRPr="00D7630B">
        <w:rPr>
          <w:rFonts w:ascii="ˎ̥" w:hAnsi="ˎ̥" w:hint="eastAsia"/>
          <w:b/>
          <w:sz w:val="24"/>
        </w:rPr>
        <w:t>及董事会全体成员保证公告内容不存在虚假记载、误导性陈述或者重大遗漏，并对其内容的真实、准确和完整承担个别及连带责任。</w:t>
      </w:r>
    </w:p>
    <w:p w:rsidR="00BE0A20" w:rsidRDefault="00BE0A20" w:rsidP="00BE0A20">
      <w:pPr>
        <w:pStyle w:val="Default"/>
        <w:spacing w:line="360" w:lineRule="auto"/>
      </w:pPr>
    </w:p>
    <w:p w:rsidR="00BE0A20" w:rsidRDefault="00BE0A20" w:rsidP="00BE0A20">
      <w:pPr>
        <w:autoSpaceDE w:val="0"/>
        <w:autoSpaceDN w:val="0"/>
        <w:adjustRightInd w:val="0"/>
        <w:spacing w:line="360" w:lineRule="auto"/>
        <w:ind w:firstLineChars="200" w:firstLine="482"/>
        <w:rPr>
          <w:rFonts w:ascii="宋体" w:hAnsi="宋体"/>
          <w:b/>
          <w:sz w:val="24"/>
        </w:rPr>
      </w:pPr>
      <w:r>
        <w:rPr>
          <w:rFonts w:ascii="宋体" w:hAnsi="宋体" w:hint="eastAsia"/>
          <w:b/>
          <w:sz w:val="24"/>
        </w:rPr>
        <w:t>重要内容提示：</w:t>
      </w:r>
    </w:p>
    <w:p w:rsidR="00BE0A20" w:rsidRDefault="00BE0A20" w:rsidP="00BE0A20">
      <w:pPr>
        <w:numPr>
          <w:ilvl w:val="0"/>
          <w:numId w:val="1"/>
        </w:numPr>
        <w:adjustRightInd w:val="0"/>
        <w:snapToGrid w:val="0"/>
        <w:spacing w:line="360" w:lineRule="auto"/>
        <w:rPr>
          <w:rFonts w:ascii="宋体" w:hAnsi="宋体"/>
          <w:color w:val="000000"/>
          <w:sz w:val="24"/>
        </w:rPr>
      </w:pPr>
      <w:r>
        <w:rPr>
          <w:rFonts w:ascii="宋体" w:hAnsi="宋体" w:hint="eastAsia"/>
          <w:color w:val="000000"/>
          <w:sz w:val="24"/>
        </w:rPr>
        <w:t>现金管理金额：</w:t>
      </w:r>
      <w:r w:rsidRPr="00BE0A20">
        <w:rPr>
          <w:rFonts w:ascii="宋体" w:hAnsi="宋体" w:hint="eastAsia"/>
          <w:color w:val="000000"/>
          <w:sz w:val="24"/>
        </w:rPr>
        <w:t>江苏吴中医药发展股份有限公司</w:t>
      </w:r>
      <w:r>
        <w:rPr>
          <w:rFonts w:ascii="宋体" w:hAnsi="宋体" w:hint="eastAsia"/>
          <w:color w:val="000000"/>
          <w:sz w:val="24"/>
        </w:rPr>
        <w:t>（以下简称“公司”）及其全资子（孙）公司、控股子（孙）</w:t>
      </w:r>
      <w:r w:rsidRPr="0099191D">
        <w:rPr>
          <w:rFonts w:ascii="宋体" w:hAnsi="宋体" w:hint="eastAsia"/>
          <w:color w:val="000000"/>
          <w:sz w:val="24"/>
        </w:rPr>
        <w:t>公司拟使用不超过人民币</w:t>
      </w:r>
      <w:r>
        <w:rPr>
          <w:rFonts w:ascii="宋体" w:hAnsi="宋体" w:hint="eastAsia"/>
          <w:color w:val="000000"/>
          <w:sz w:val="24"/>
        </w:rPr>
        <w:t>3</w:t>
      </w:r>
      <w:r w:rsidRPr="0099191D">
        <w:rPr>
          <w:rFonts w:ascii="宋体" w:hAnsi="宋体" w:hint="eastAsia"/>
          <w:color w:val="000000"/>
          <w:sz w:val="24"/>
        </w:rPr>
        <w:t>.2亿元的暂</w:t>
      </w:r>
      <w:r>
        <w:rPr>
          <w:rFonts w:ascii="宋体" w:hAnsi="宋体" w:hint="eastAsia"/>
          <w:color w:val="000000"/>
          <w:sz w:val="24"/>
        </w:rPr>
        <w:t>时闲置自有资金进行现金管理，在上述额度及决议有效期内，资金可以循环滚动使用。</w:t>
      </w:r>
    </w:p>
    <w:p w:rsidR="00BE0A20" w:rsidRDefault="00BE0A20" w:rsidP="00BE0A20">
      <w:pPr>
        <w:numPr>
          <w:ilvl w:val="0"/>
          <w:numId w:val="1"/>
        </w:numPr>
        <w:adjustRightInd w:val="0"/>
        <w:snapToGrid w:val="0"/>
        <w:spacing w:line="360" w:lineRule="auto"/>
        <w:rPr>
          <w:rFonts w:ascii="宋体" w:hAnsi="宋体"/>
          <w:color w:val="000000"/>
          <w:sz w:val="24"/>
        </w:rPr>
      </w:pPr>
      <w:r>
        <w:rPr>
          <w:rFonts w:ascii="宋体" w:hAnsi="宋体" w:hint="eastAsia"/>
          <w:color w:val="000000"/>
          <w:sz w:val="24"/>
        </w:rPr>
        <w:t>现金管理投资类型：仅限于安全性高、低风险、流动性好、稳健型理财产品以及结构性存款。</w:t>
      </w:r>
    </w:p>
    <w:p w:rsidR="00BE0A20" w:rsidRDefault="00BE0A20" w:rsidP="00BE0A20">
      <w:pPr>
        <w:numPr>
          <w:ilvl w:val="0"/>
          <w:numId w:val="1"/>
        </w:numPr>
        <w:adjustRightInd w:val="0"/>
        <w:snapToGrid w:val="0"/>
        <w:spacing w:line="360" w:lineRule="auto"/>
        <w:rPr>
          <w:rFonts w:ascii="宋体" w:hAnsi="宋体"/>
          <w:color w:val="000000"/>
          <w:sz w:val="24"/>
        </w:rPr>
      </w:pPr>
      <w:r>
        <w:rPr>
          <w:rFonts w:ascii="宋体" w:hAnsi="宋体" w:hint="eastAsia"/>
          <w:color w:val="000000"/>
          <w:sz w:val="24"/>
        </w:rPr>
        <w:t>现金管理期</w:t>
      </w:r>
      <w:r w:rsidRPr="0099191D">
        <w:rPr>
          <w:rFonts w:ascii="宋体" w:hAnsi="宋体" w:hint="eastAsia"/>
          <w:color w:val="000000"/>
          <w:sz w:val="24"/>
        </w:rPr>
        <w:t>限：</w:t>
      </w:r>
      <w:r w:rsidRPr="00BE0A20">
        <w:rPr>
          <w:rFonts w:ascii="宋体" w:hAnsi="宋体" w:hint="eastAsia"/>
          <w:color w:val="000000"/>
          <w:sz w:val="24"/>
        </w:rPr>
        <w:t>自公司第十届董事会第三次会议（通讯表决）审议通过之日起一年之内有效。</w:t>
      </w:r>
    </w:p>
    <w:p w:rsidR="00BE0A20" w:rsidRPr="0099191D" w:rsidRDefault="00BE0A20" w:rsidP="00BE0A20">
      <w:pPr>
        <w:numPr>
          <w:ilvl w:val="0"/>
          <w:numId w:val="1"/>
        </w:numPr>
        <w:adjustRightInd w:val="0"/>
        <w:snapToGrid w:val="0"/>
        <w:spacing w:line="360" w:lineRule="auto"/>
        <w:rPr>
          <w:rFonts w:ascii="宋体" w:hAnsi="宋体"/>
          <w:color w:val="000000"/>
          <w:sz w:val="24"/>
        </w:rPr>
      </w:pPr>
      <w:r w:rsidRPr="0099191D">
        <w:rPr>
          <w:rFonts w:ascii="宋体" w:hAnsi="宋体" w:hint="eastAsia"/>
          <w:color w:val="000000"/>
          <w:sz w:val="24"/>
        </w:rPr>
        <w:t>履行的审议程序：</w:t>
      </w:r>
      <w:r>
        <w:rPr>
          <w:rFonts w:ascii="宋体" w:hAnsi="宋体" w:hint="eastAsia"/>
          <w:color w:val="000000"/>
          <w:sz w:val="24"/>
        </w:rPr>
        <w:t>2021</w:t>
      </w:r>
      <w:r w:rsidRPr="0099191D">
        <w:rPr>
          <w:rFonts w:ascii="宋体" w:hAnsi="宋体" w:hint="eastAsia"/>
          <w:color w:val="000000"/>
          <w:sz w:val="24"/>
        </w:rPr>
        <w:t>年</w:t>
      </w:r>
      <w:r>
        <w:rPr>
          <w:rFonts w:ascii="宋体" w:hAnsi="宋体" w:hint="eastAsia"/>
          <w:color w:val="000000"/>
          <w:sz w:val="24"/>
        </w:rPr>
        <w:t>10</w:t>
      </w:r>
      <w:r w:rsidRPr="0099191D">
        <w:rPr>
          <w:rFonts w:ascii="宋体" w:hAnsi="宋体" w:hint="eastAsia"/>
          <w:color w:val="000000"/>
          <w:sz w:val="24"/>
        </w:rPr>
        <w:t>月</w:t>
      </w:r>
      <w:r>
        <w:rPr>
          <w:rFonts w:ascii="宋体" w:hAnsi="宋体" w:hint="eastAsia"/>
          <w:color w:val="000000"/>
          <w:sz w:val="24"/>
        </w:rPr>
        <w:t>28</w:t>
      </w:r>
      <w:r w:rsidRPr="0099191D">
        <w:rPr>
          <w:rFonts w:ascii="宋体" w:hAnsi="宋体" w:hint="eastAsia"/>
          <w:color w:val="000000"/>
          <w:sz w:val="24"/>
        </w:rPr>
        <w:t>日，公司召开</w:t>
      </w:r>
      <w:r>
        <w:rPr>
          <w:rFonts w:ascii="宋体" w:hAnsi="宋体" w:hint="eastAsia"/>
          <w:sz w:val="24"/>
        </w:rPr>
        <w:t>第十届董事会第三次会议（通讯表决）和第十届监事会第三次会议（通讯表决）</w:t>
      </w:r>
      <w:r w:rsidRPr="0099191D">
        <w:rPr>
          <w:rFonts w:ascii="宋体" w:hAnsi="宋体" w:hint="eastAsia"/>
          <w:color w:val="000000"/>
          <w:sz w:val="24"/>
        </w:rPr>
        <w:t>，审议通过了该事项。该事项无需提交公司股东大会审议。</w:t>
      </w:r>
    </w:p>
    <w:p w:rsidR="00BE0A20" w:rsidRDefault="00BE0A20" w:rsidP="00BE0A20">
      <w:pPr>
        <w:pStyle w:val="Default"/>
        <w:spacing w:line="360" w:lineRule="auto"/>
      </w:pPr>
    </w:p>
    <w:p w:rsidR="00BE0A20" w:rsidRDefault="00BE0A20" w:rsidP="00BE0A20">
      <w:pPr>
        <w:pStyle w:val="a5"/>
        <w:spacing w:line="360" w:lineRule="auto"/>
        <w:ind w:firstLineChars="200" w:firstLine="482"/>
        <w:rPr>
          <w:rFonts w:ascii="宋体" w:hAnsi="宋体"/>
          <w:b/>
          <w:sz w:val="24"/>
          <w:szCs w:val="24"/>
        </w:rPr>
      </w:pPr>
      <w:r>
        <w:rPr>
          <w:rFonts w:ascii="宋体" w:hAnsi="宋体" w:hint="eastAsia"/>
          <w:b/>
          <w:sz w:val="24"/>
          <w:szCs w:val="24"/>
        </w:rPr>
        <w:t>一、现金管理概况</w:t>
      </w:r>
    </w:p>
    <w:p w:rsidR="00BE0A20" w:rsidRDefault="00BE0A20" w:rsidP="00BE0A20">
      <w:pPr>
        <w:pStyle w:val="a5"/>
        <w:spacing w:line="360" w:lineRule="auto"/>
        <w:ind w:firstLineChars="200" w:firstLine="480"/>
        <w:rPr>
          <w:rFonts w:ascii="宋体" w:hAnsi="宋体"/>
          <w:sz w:val="24"/>
          <w:szCs w:val="24"/>
        </w:rPr>
      </w:pPr>
      <w:r>
        <w:rPr>
          <w:rFonts w:ascii="宋体" w:hAnsi="宋体" w:hint="eastAsia"/>
          <w:sz w:val="24"/>
          <w:szCs w:val="24"/>
        </w:rPr>
        <w:t>（一）现金管理目的</w:t>
      </w:r>
    </w:p>
    <w:p w:rsidR="00BE0A20" w:rsidRDefault="00BE0A20" w:rsidP="00BE0A20">
      <w:pPr>
        <w:pStyle w:val="a5"/>
        <w:spacing w:line="360" w:lineRule="auto"/>
        <w:ind w:firstLineChars="200" w:firstLine="480"/>
        <w:rPr>
          <w:rFonts w:ascii="宋体" w:hAnsi="宋体"/>
          <w:sz w:val="24"/>
          <w:szCs w:val="24"/>
        </w:rPr>
      </w:pPr>
      <w:r>
        <w:rPr>
          <w:rFonts w:ascii="宋体" w:hAnsi="宋体" w:hint="eastAsia"/>
          <w:sz w:val="24"/>
          <w:szCs w:val="24"/>
        </w:rPr>
        <w:t>为提高资金使用效率，合理利用闲置自有资金，本着股东利益最大化的原则，根据公司自有资金情况，在不影响公司正常经营及风险可控的前提下，公司及其全资子（孙）公司、控股子（孙）公司拟使用不超过</w:t>
      </w:r>
      <w:r w:rsidRPr="006C187B">
        <w:rPr>
          <w:rFonts w:ascii="宋体" w:hAnsi="宋体" w:hint="eastAsia"/>
          <w:sz w:val="24"/>
          <w:szCs w:val="24"/>
        </w:rPr>
        <w:t>人民币3</w:t>
      </w:r>
      <w:r w:rsidRPr="006C187B">
        <w:rPr>
          <w:rFonts w:ascii="宋体" w:hAnsi="宋体"/>
          <w:sz w:val="24"/>
          <w:szCs w:val="24"/>
        </w:rPr>
        <w:t>.2</w:t>
      </w:r>
      <w:r w:rsidRPr="006C187B">
        <w:rPr>
          <w:rFonts w:ascii="宋体" w:hAnsi="宋体" w:hint="eastAsia"/>
          <w:color w:val="000000"/>
          <w:sz w:val="24"/>
        </w:rPr>
        <w:t>亿元</w:t>
      </w:r>
      <w:r>
        <w:rPr>
          <w:rFonts w:ascii="宋体" w:hAnsi="宋体" w:hint="eastAsia"/>
          <w:sz w:val="24"/>
          <w:szCs w:val="24"/>
        </w:rPr>
        <w:t>的闲置自有资金进行现金管理。</w:t>
      </w:r>
    </w:p>
    <w:p w:rsidR="00BE0A20" w:rsidRDefault="00BE0A20" w:rsidP="00BE0A20">
      <w:pPr>
        <w:pStyle w:val="a5"/>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（二）资金来源</w:t>
      </w:r>
    </w:p>
    <w:p w:rsidR="00BE0A20" w:rsidRDefault="00BE0A20" w:rsidP="00BE0A20">
      <w:pPr>
        <w:pStyle w:val="a5"/>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资金来源为公司闲置自有资金。</w:t>
      </w:r>
    </w:p>
    <w:p w:rsidR="00BE0A20" w:rsidRDefault="00BE0A20" w:rsidP="00BE0A20">
      <w:pPr>
        <w:pStyle w:val="a5"/>
        <w:spacing w:line="360" w:lineRule="auto"/>
        <w:ind w:firstLineChars="200" w:firstLine="480"/>
        <w:rPr>
          <w:rFonts w:ascii="宋体" w:hAnsi="宋体"/>
          <w:sz w:val="24"/>
        </w:rPr>
      </w:pPr>
      <w:r>
        <w:rPr>
          <w:rFonts w:ascii="宋体" w:hAnsi="宋体" w:hint="eastAsia"/>
          <w:sz w:val="24"/>
        </w:rPr>
        <w:t>（三）现金管理品种</w:t>
      </w:r>
    </w:p>
    <w:p w:rsidR="00BE0A20" w:rsidRDefault="00BE0A20" w:rsidP="00BE0A20">
      <w:pPr>
        <w:pStyle w:val="a5"/>
        <w:spacing w:line="360" w:lineRule="auto"/>
        <w:ind w:firstLineChars="200" w:firstLine="480"/>
        <w:rPr>
          <w:rFonts w:ascii="宋体" w:hAnsi="宋体"/>
          <w:sz w:val="24"/>
        </w:rPr>
      </w:pPr>
      <w:r>
        <w:rPr>
          <w:rFonts w:ascii="宋体" w:hAnsi="宋体" w:hint="eastAsia"/>
          <w:sz w:val="24"/>
        </w:rPr>
        <w:t>为控制风险，现金管理产品仅限于安全性高、低风险、流动性好、稳健型理财产品以及结构性存款。公司进行结构性存款或购买理财产品不得与发行主体存在关联关系。</w:t>
      </w:r>
    </w:p>
    <w:p w:rsidR="00BE0A20" w:rsidRDefault="00BE0A20" w:rsidP="00BE0A20">
      <w:pPr>
        <w:pStyle w:val="a5"/>
        <w:spacing w:line="360" w:lineRule="auto"/>
        <w:ind w:firstLineChars="200" w:firstLine="480"/>
        <w:rPr>
          <w:rFonts w:ascii="宋体" w:hAnsi="宋体"/>
          <w:sz w:val="24"/>
        </w:rPr>
      </w:pPr>
      <w:r>
        <w:rPr>
          <w:rFonts w:ascii="宋体" w:hAnsi="宋体" w:hint="eastAsia"/>
          <w:sz w:val="24"/>
        </w:rPr>
        <w:t>（四）现金管理额度及有效期</w:t>
      </w:r>
    </w:p>
    <w:p w:rsidR="00BE0A20" w:rsidRDefault="00BE0A20" w:rsidP="00BE0A20">
      <w:pPr>
        <w:pStyle w:val="a5"/>
        <w:spacing w:line="360" w:lineRule="auto"/>
        <w:ind w:firstLineChars="200" w:firstLine="480"/>
        <w:rPr>
          <w:rFonts w:ascii="宋体" w:hAnsi="宋体"/>
          <w:sz w:val="24"/>
        </w:rPr>
      </w:pPr>
      <w:r>
        <w:rPr>
          <w:rFonts w:ascii="宋体" w:hAnsi="宋体" w:hint="eastAsia"/>
          <w:sz w:val="24"/>
        </w:rPr>
        <w:t>公司拟使用不</w:t>
      </w:r>
      <w:r w:rsidRPr="006C187B">
        <w:rPr>
          <w:rFonts w:ascii="宋体" w:hAnsi="宋体" w:hint="eastAsia"/>
          <w:sz w:val="24"/>
        </w:rPr>
        <w:t>超过人民币3</w:t>
      </w:r>
      <w:r w:rsidRPr="006C187B">
        <w:rPr>
          <w:rFonts w:ascii="宋体" w:hAnsi="宋体"/>
          <w:sz w:val="24"/>
        </w:rPr>
        <w:t>.2</w:t>
      </w:r>
      <w:r w:rsidRPr="006C187B">
        <w:rPr>
          <w:rFonts w:ascii="宋体" w:hAnsi="宋体" w:hint="eastAsia"/>
          <w:color w:val="000000"/>
          <w:sz w:val="24"/>
        </w:rPr>
        <w:t>亿元</w:t>
      </w:r>
      <w:r w:rsidRPr="006C187B">
        <w:rPr>
          <w:rFonts w:ascii="宋体" w:hAnsi="宋体" w:hint="eastAsia"/>
          <w:sz w:val="24"/>
        </w:rPr>
        <w:t>的闲</w:t>
      </w:r>
      <w:r>
        <w:rPr>
          <w:rFonts w:ascii="宋体" w:hAnsi="宋体" w:hint="eastAsia"/>
          <w:sz w:val="24"/>
        </w:rPr>
        <w:t>置自有资金进行现金管理，在上述额度及决议有效期内，资金可以循环滚动使用。有效期自公司第十届董事会第三次会议（通讯表决）审议通过之日起一年之内有效。</w:t>
      </w:r>
    </w:p>
    <w:p w:rsidR="00BE0A20" w:rsidRDefault="00BE0A20" w:rsidP="00BE0A20">
      <w:pPr>
        <w:pStyle w:val="a5"/>
        <w:spacing w:line="360" w:lineRule="auto"/>
        <w:ind w:firstLineChars="200" w:firstLine="480"/>
        <w:rPr>
          <w:rFonts w:ascii="宋体" w:hAnsi="宋体"/>
          <w:sz w:val="24"/>
        </w:rPr>
      </w:pPr>
      <w:r>
        <w:rPr>
          <w:rFonts w:ascii="宋体" w:hAnsi="宋体" w:hint="eastAsia"/>
          <w:sz w:val="24"/>
        </w:rPr>
        <w:t>（五）实施方式</w:t>
      </w:r>
    </w:p>
    <w:p w:rsidR="00BE0A20" w:rsidRDefault="00BE0A20" w:rsidP="00BE0A20">
      <w:pPr>
        <w:pStyle w:val="a5"/>
        <w:spacing w:line="360" w:lineRule="auto"/>
        <w:ind w:firstLineChars="200" w:firstLine="480"/>
        <w:rPr>
          <w:rFonts w:ascii="宋体" w:hAnsi="宋体"/>
          <w:sz w:val="24"/>
        </w:rPr>
      </w:pPr>
      <w:r>
        <w:rPr>
          <w:rFonts w:ascii="宋体" w:hAnsi="宋体" w:hint="eastAsia"/>
          <w:sz w:val="24"/>
        </w:rPr>
        <w:t>在额度范围内公司董事会授权公司管理层行使该项投资决策权并签署相关合同文件，具体事项由公司资金管理中心负责组织实施。公司将按照《上海证券交易所股票上市规则》等相关法律法规要求及时披露公司现金管理的具体情况。</w:t>
      </w:r>
    </w:p>
    <w:p w:rsidR="00BE0A20" w:rsidRDefault="00BE0A20" w:rsidP="00BE0A20">
      <w:pPr>
        <w:spacing w:line="360" w:lineRule="auto"/>
        <w:ind w:firstLineChars="200" w:firstLine="480"/>
        <w:rPr>
          <w:rFonts w:asciiTheme="minorEastAsia" w:hAnsiTheme="minorEastAsia" w:cs="宋体"/>
          <w:sz w:val="24"/>
        </w:rPr>
      </w:pPr>
      <w:r>
        <w:rPr>
          <w:rFonts w:asciiTheme="minorEastAsia" w:hAnsiTheme="minorEastAsia" w:cs="宋体" w:hint="eastAsia"/>
          <w:sz w:val="24"/>
        </w:rPr>
        <w:t>（六）公司对现金管理相关风险的内部控制</w:t>
      </w:r>
    </w:p>
    <w:p w:rsidR="00BE0A20" w:rsidRDefault="00BE0A20" w:rsidP="00BE0A20">
      <w:pPr>
        <w:spacing w:line="360" w:lineRule="auto"/>
        <w:ind w:firstLineChars="200" w:firstLine="480"/>
        <w:rPr>
          <w:rFonts w:asciiTheme="minorEastAsia" w:hAnsiTheme="minorEastAsia" w:cs="宋体"/>
          <w:sz w:val="24"/>
        </w:rPr>
      </w:pPr>
      <w:r>
        <w:rPr>
          <w:rFonts w:asciiTheme="minorEastAsia" w:hAnsiTheme="minorEastAsia" w:cs="宋体" w:hint="eastAsia"/>
          <w:sz w:val="24"/>
        </w:rPr>
        <w:t>公司进行结构性存款</w:t>
      </w:r>
      <w:r>
        <w:rPr>
          <w:rFonts w:hint="eastAsia"/>
          <w:sz w:val="24"/>
        </w:rPr>
        <w:t>及购买低风险理财产品，风险可控，符合公司内部资金管理的要求。公司按照决策、执行、监督职</w:t>
      </w:r>
      <w:r>
        <w:rPr>
          <w:rFonts w:asciiTheme="minorEastAsia" w:hAnsiTheme="minorEastAsia" w:cs="宋体" w:hint="eastAsia"/>
          <w:sz w:val="24"/>
        </w:rPr>
        <w:t xml:space="preserve">能相分离的原则建立健全相关投资的审批和执行程序，确保资金安全。拟采取的具体措施如下： </w:t>
      </w:r>
    </w:p>
    <w:p w:rsidR="00BE0A20" w:rsidRDefault="00BE0A20" w:rsidP="00BE0A20">
      <w:pPr>
        <w:spacing w:line="360" w:lineRule="auto"/>
        <w:ind w:firstLineChars="200" w:firstLine="480"/>
        <w:rPr>
          <w:rFonts w:asciiTheme="minorEastAsia" w:hAnsiTheme="minorEastAsia" w:cs="宋体"/>
          <w:sz w:val="24"/>
        </w:rPr>
      </w:pPr>
      <w:r>
        <w:rPr>
          <w:rFonts w:asciiTheme="minorEastAsia" w:hAnsiTheme="minorEastAsia" w:cs="宋体" w:hint="eastAsia"/>
          <w:sz w:val="24"/>
        </w:rPr>
        <w:t>1、公司将根据阶段性闲置自有资金情况，选择相适应的理财产品种类和期限，确保不影响公司正常生产经营活动所需资金。</w:t>
      </w:r>
    </w:p>
    <w:p w:rsidR="00BE0A20" w:rsidRDefault="00BE0A20" w:rsidP="00BE0A20">
      <w:pPr>
        <w:spacing w:line="360" w:lineRule="auto"/>
        <w:ind w:firstLineChars="200" w:firstLine="480"/>
        <w:rPr>
          <w:rFonts w:asciiTheme="minorEastAsia" w:hAnsiTheme="minorEastAsia" w:cs="宋体"/>
          <w:sz w:val="24"/>
        </w:rPr>
      </w:pPr>
      <w:r>
        <w:rPr>
          <w:rFonts w:asciiTheme="minorEastAsia" w:hAnsiTheme="minorEastAsia" w:cs="宋体" w:hint="eastAsia"/>
          <w:sz w:val="24"/>
        </w:rPr>
        <w:t>2、公司资金管理中心需进行事前审核与评估风险，及时跟踪理财产品的进展，分析理财产品投向、项目进展情况，如评估发现存在可能影响公司资金安全的风险因素，将及时采取相应的措施，控制投资风险。</w:t>
      </w:r>
    </w:p>
    <w:p w:rsidR="00BE0A20" w:rsidRDefault="00BE0A20" w:rsidP="00BE0A20">
      <w:pPr>
        <w:spacing w:line="360" w:lineRule="auto"/>
        <w:ind w:firstLineChars="200" w:firstLine="480"/>
        <w:rPr>
          <w:rFonts w:asciiTheme="minorEastAsia" w:hAnsiTheme="minorEastAsia" w:cs="宋体"/>
          <w:sz w:val="24"/>
        </w:rPr>
      </w:pPr>
      <w:r>
        <w:rPr>
          <w:rFonts w:asciiTheme="minorEastAsia" w:hAnsiTheme="minorEastAsia" w:cs="宋体" w:hint="eastAsia"/>
          <w:sz w:val="24"/>
        </w:rPr>
        <w:t>3、独立董事、监事会有权对资金使用情况进行监督与检查，必要时可以聘请专业机构进行审计。</w:t>
      </w:r>
    </w:p>
    <w:p w:rsidR="00BE0A20" w:rsidRDefault="00BE0A20" w:rsidP="00BE0A20">
      <w:pPr>
        <w:spacing w:line="360" w:lineRule="auto"/>
        <w:ind w:firstLineChars="200" w:firstLine="480"/>
        <w:rPr>
          <w:rFonts w:asciiTheme="minorEastAsia" w:hAnsiTheme="minorEastAsia" w:cs="宋体"/>
          <w:sz w:val="24"/>
        </w:rPr>
      </w:pPr>
    </w:p>
    <w:p w:rsidR="00BE0A20" w:rsidRDefault="00BE0A20" w:rsidP="00BE0A20">
      <w:pPr>
        <w:spacing w:line="360" w:lineRule="auto"/>
        <w:ind w:firstLineChars="200" w:firstLine="482"/>
        <w:rPr>
          <w:rFonts w:asciiTheme="minorEastAsia" w:hAnsiTheme="minorEastAsia" w:cs="宋体"/>
          <w:b/>
          <w:sz w:val="24"/>
        </w:rPr>
      </w:pPr>
      <w:r>
        <w:rPr>
          <w:rFonts w:asciiTheme="minorEastAsia" w:hAnsiTheme="minorEastAsia" w:cs="宋体" w:hint="eastAsia"/>
          <w:b/>
          <w:sz w:val="24"/>
        </w:rPr>
        <w:t>二、对公司的影响</w:t>
      </w:r>
    </w:p>
    <w:p w:rsidR="00BE0A20" w:rsidRPr="006C187B" w:rsidRDefault="00BE0A20" w:rsidP="00BE0A20">
      <w:pPr>
        <w:spacing w:line="360" w:lineRule="auto"/>
        <w:ind w:firstLineChars="200" w:firstLine="480"/>
        <w:rPr>
          <w:rFonts w:asciiTheme="minorEastAsia" w:hAnsiTheme="minorEastAsia" w:cs="宋体"/>
          <w:sz w:val="24"/>
        </w:rPr>
      </w:pPr>
      <w:r w:rsidRPr="006C187B">
        <w:rPr>
          <w:rFonts w:asciiTheme="minorEastAsia" w:eastAsiaTheme="minorEastAsia" w:hAnsiTheme="minorEastAsia" w:cs="宋体" w:hint="eastAsia"/>
          <w:sz w:val="24"/>
        </w:rPr>
        <w:t>公司目前核心产业为医药行业</w:t>
      </w:r>
      <w:r w:rsidRPr="006C187B">
        <w:rPr>
          <w:rFonts w:asciiTheme="minorEastAsia" w:hAnsiTheme="minorEastAsia" w:cs="宋体" w:hint="eastAsia"/>
          <w:sz w:val="24"/>
        </w:rPr>
        <w:t>。公司 2020年度及 2021年 1-9月份的基本财务指标如下表：</w:t>
      </w:r>
    </w:p>
    <w:p w:rsidR="00BE0A20" w:rsidRPr="006C187B" w:rsidRDefault="00BE0A20" w:rsidP="00BE0A20">
      <w:pPr>
        <w:spacing w:line="360" w:lineRule="auto"/>
        <w:jc w:val="right"/>
        <w:rPr>
          <w:rFonts w:asciiTheme="minorEastAsia" w:hAnsiTheme="minorEastAsia" w:cs="宋体"/>
          <w:szCs w:val="21"/>
        </w:rPr>
      </w:pPr>
      <w:r w:rsidRPr="006C187B">
        <w:rPr>
          <w:rFonts w:asciiTheme="minorEastAsia" w:hAnsiTheme="minorEastAsia" w:cs="宋体" w:hint="eastAsia"/>
          <w:szCs w:val="21"/>
        </w:rPr>
        <w:lastRenderedPageBreak/>
        <w:t>单位：万元</w:t>
      </w:r>
    </w:p>
    <w:tbl>
      <w:tblPr>
        <w:tblW w:w="5000" w:type="pct"/>
        <w:tblLayout w:type="fixed"/>
        <w:tblLook w:val="04A0" w:firstRow="1" w:lastRow="0" w:firstColumn="1" w:lastColumn="0" w:noHBand="0" w:noVBand="1"/>
      </w:tblPr>
      <w:tblGrid>
        <w:gridCol w:w="2376"/>
        <w:gridCol w:w="3119"/>
        <w:gridCol w:w="3027"/>
      </w:tblGrid>
      <w:tr w:rsidR="00BE0A20" w:rsidRPr="00CF5FA1" w:rsidTr="00BE0A20">
        <w:trPr>
          <w:trHeight w:val="270"/>
        </w:trPr>
        <w:tc>
          <w:tcPr>
            <w:tcW w:w="1394" w:type="pct"/>
            <w:tcBorders>
              <w:top w:val="single" w:sz="4" w:space="0" w:color="auto"/>
              <w:left w:val="single" w:sz="4" w:space="0" w:color="auto"/>
              <w:bottom w:val="single" w:sz="4" w:space="0" w:color="auto"/>
              <w:right w:val="single" w:sz="4" w:space="0" w:color="auto"/>
            </w:tcBorders>
            <w:shd w:val="clear" w:color="auto" w:fill="auto"/>
            <w:noWrap/>
            <w:vAlign w:val="center"/>
          </w:tcPr>
          <w:p w:rsidR="00BE0A20" w:rsidRPr="00CF5FA1" w:rsidRDefault="00BE0A20" w:rsidP="00EC4C61">
            <w:pPr>
              <w:jc w:val="center"/>
              <w:rPr>
                <w:rFonts w:asciiTheme="minorEastAsia" w:eastAsiaTheme="minorEastAsia" w:hAnsiTheme="minorEastAsia" w:cs="宋体"/>
                <w:b/>
                <w:szCs w:val="21"/>
              </w:rPr>
            </w:pPr>
            <w:r w:rsidRPr="00CF5FA1">
              <w:rPr>
                <w:rFonts w:asciiTheme="minorEastAsia" w:eastAsiaTheme="minorEastAsia" w:hAnsiTheme="minorEastAsia" w:cs="宋体" w:hint="eastAsia"/>
                <w:b/>
                <w:szCs w:val="21"/>
              </w:rPr>
              <w:t>项目</w:t>
            </w:r>
          </w:p>
        </w:tc>
        <w:tc>
          <w:tcPr>
            <w:tcW w:w="1830" w:type="pct"/>
            <w:tcBorders>
              <w:top w:val="single" w:sz="4" w:space="0" w:color="auto"/>
              <w:left w:val="nil"/>
              <w:bottom w:val="single" w:sz="4" w:space="0" w:color="auto"/>
              <w:right w:val="single" w:sz="4" w:space="0" w:color="auto"/>
            </w:tcBorders>
            <w:shd w:val="clear" w:color="auto" w:fill="auto"/>
            <w:noWrap/>
            <w:vAlign w:val="center"/>
          </w:tcPr>
          <w:p w:rsidR="00BE0A20" w:rsidRPr="00CF5FA1" w:rsidRDefault="00BE0A20" w:rsidP="00EC4C61">
            <w:pPr>
              <w:jc w:val="right"/>
              <w:rPr>
                <w:rFonts w:asciiTheme="minorEastAsia" w:eastAsiaTheme="minorEastAsia" w:hAnsiTheme="minorEastAsia" w:cs="宋体"/>
                <w:b/>
                <w:szCs w:val="21"/>
              </w:rPr>
            </w:pPr>
            <w:r w:rsidRPr="00CF5FA1">
              <w:rPr>
                <w:rFonts w:asciiTheme="minorEastAsia" w:eastAsiaTheme="minorEastAsia" w:hAnsiTheme="minorEastAsia" w:cs="宋体" w:hint="eastAsia"/>
                <w:b/>
                <w:szCs w:val="21"/>
              </w:rPr>
              <w:t>2021年9月30日（未经审计）</w:t>
            </w:r>
          </w:p>
        </w:tc>
        <w:tc>
          <w:tcPr>
            <w:tcW w:w="1776" w:type="pct"/>
            <w:tcBorders>
              <w:top w:val="single" w:sz="4" w:space="0" w:color="auto"/>
              <w:left w:val="nil"/>
              <w:bottom w:val="single" w:sz="4" w:space="0" w:color="auto"/>
              <w:right w:val="single" w:sz="4" w:space="0" w:color="auto"/>
            </w:tcBorders>
            <w:shd w:val="clear" w:color="auto" w:fill="auto"/>
            <w:noWrap/>
            <w:vAlign w:val="center"/>
          </w:tcPr>
          <w:p w:rsidR="00BE0A20" w:rsidRPr="00CF5FA1" w:rsidRDefault="00BE0A20" w:rsidP="00EC4C61">
            <w:pPr>
              <w:jc w:val="right"/>
              <w:rPr>
                <w:rFonts w:asciiTheme="minorEastAsia" w:eastAsiaTheme="minorEastAsia" w:hAnsiTheme="minorEastAsia" w:cs="宋体"/>
                <w:b/>
                <w:szCs w:val="21"/>
              </w:rPr>
            </w:pPr>
            <w:r w:rsidRPr="00CF5FA1">
              <w:rPr>
                <w:rFonts w:asciiTheme="minorEastAsia" w:eastAsiaTheme="minorEastAsia" w:hAnsiTheme="minorEastAsia" w:cs="宋体" w:hint="eastAsia"/>
                <w:b/>
                <w:szCs w:val="21"/>
              </w:rPr>
              <w:t>2020年12月31日（已经审计）</w:t>
            </w:r>
          </w:p>
        </w:tc>
      </w:tr>
      <w:tr w:rsidR="00283D37" w:rsidRPr="00CF5FA1" w:rsidTr="00BE0A20">
        <w:trPr>
          <w:trHeight w:val="270"/>
        </w:trPr>
        <w:tc>
          <w:tcPr>
            <w:tcW w:w="1394" w:type="pct"/>
            <w:tcBorders>
              <w:top w:val="nil"/>
              <w:left w:val="single" w:sz="4" w:space="0" w:color="auto"/>
              <w:bottom w:val="single" w:sz="4" w:space="0" w:color="auto"/>
              <w:right w:val="single" w:sz="4" w:space="0" w:color="auto"/>
            </w:tcBorders>
            <w:shd w:val="clear" w:color="auto" w:fill="auto"/>
            <w:noWrap/>
            <w:vAlign w:val="center"/>
          </w:tcPr>
          <w:p w:rsidR="00283D37" w:rsidRPr="00CF5FA1" w:rsidRDefault="00283D37" w:rsidP="00283D37">
            <w:pPr>
              <w:jc w:val="center"/>
              <w:rPr>
                <w:rFonts w:asciiTheme="minorEastAsia" w:eastAsiaTheme="minorEastAsia" w:hAnsiTheme="minorEastAsia" w:cs="宋体"/>
                <w:szCs w:val="21"/>
              </w:rPr>
            </w:pPr>
            <w:r w:rsidRPr="00CF5FA1">
              <w:rPr>
                <w:rFonts w:asciiTheme="minorEastAsia" w:eastAsiaTheme="minorEastAsia" w:hAnsiTheme="minorEastAsia" w:cs="宋体" w:hint="eastAsia"/>
                <w:szCs w:val="21"/>
              </w:rPr>
              <w:t>资产总额</w:t>
            </w:r>
          </w:p>
        </w:tc>
        <w:tc>
          <w:tcPr>
            <w:tcW w:w="1830" w:type="pct"/>
            <w:tcBorders>
              <w:top w:val="nil"/>
              <w:left w:val="nil"/>
              <w:bottom w:val="single" w:sz="4" w:space="0" w:color="auto"/>
              <w:right w:val="single" w:sz="4" w:space="0" w:color="auto"/>
            </w:tcBorders>
            <w:shd w:val="clear" w:color="auto" w:fill="auto"/>
            <w:noWrap/>
            <w:vAlign w:val="bottom"/>
          </w:tcPr>
          <w:p w:rsidR="00283D37" w:rsidRPr="00CF5FA1" w:rsidRDefault="00283D37" w:rsidP="00283D37">
            <w:pPr>
              <w:widowControl/>
              <w:jc w:val="right"/>
              <w:rPr>
                <w:rFonts w:asciiTheme="minorEastAsia" w:eastAsiaTheme="minorEastAsia" w:hAnsiTheme="minorEastAsia"/>
                <w:color w:val="000000"/>
                <w:szCs w:val="21"/>
              </w:rPr>
            </w:pPr>
            <w:r w:rsidRPr="00CF5FA1">
              <w:rPr>
                <w:rFonts w:asciiTheme="minorEastAsia" w:eastAsiaTheme="minorEastAsia" w:hAnsiTheme="minorEastAsia" w:hint="eastAsia"/>
                <w:color w:val="000000"/>
                <w:szCs w:val="21"/>
              </w:rPr>
              <w:t>386,469.57</w:t>
            </w:r>
          </w:p>
        </w:tc>
        <w:tc>
          <w:tcPr>
            <w:tcW w:w="1776" w:type="pct"/>
            <w:tcBorders>
              <w:top w:val="nil"/>
              <w:left w:val="nil"/>
              <w:bottom w:val="single" w:sz="4" w:space="0" w:color="auto"/>
              <w:right w:val="single" w:sz="4" w:space="0" w:color="auto"/>
            </w:tcBorders>
            <w:shd w:val="clear" w:color="auto" w:fill="auto"/>
            <w:noWrap/>
            <w:vAlign w:val="bottom"/>
          </w:tcPr>
          <w:p w:rsidR="00283D37" w:rsidRPr="00CF5FA1" w:rsidRDefault="00283D37" w:rsidP="00283D37">
            <w:pPr>
              <w:jc w:val="right"/>
              <w:rPr>
                <w:rFonts w:asciiTheme="minorEastAsia" w:eastAsiaTheme="minorEastAsia" w:hAnsiTheme="minorEastAsia"/>
                <w:szCs w:val="21"/>
              </w:rPr>
            </w:pPr>
            <w:r w:rsidRPr="00CF5FA1">
              <w:rPr>
                <w:rFonts w:asciiTheme="minorEastAsia" w:eastAsiaTheme="minorEastAsia" w:hAnsiTheme="minorEastAsia" w:hint="eastAsia"/>
                <w:szCs w:val="21"/>
              </w:rPr>
              <w:t xml:space="preserve">            370,371.57 </w:t>
            </w:r>
          </w:p>
        </w:tc>
      </w:tr>
      <w:tr w:rsidR="00283D37" w:rsidRPr="00CF5FA1" w:rsidTr="00BE0A20">
        <w:trPr>
          <w:trHeight w:val="270"/>
        </w:trPr>
        <w:tc>
          <w:tcPr>
            <w:tcW w:w="1394" w:type="pct"/>
            <w:tcBorders>
              <w:top w:val="nil"/>
              <w:left w:val="single" w:sz="4" w:space="0" w:color="auto"/>
              <w:bottom w:val="single" w:sz="4" w:space="0" w:color="auto"/>
              <w:right w:val="single" w:sz="4" w:space="0" w:color="auto"/>
            </w:tcBorders>
            <w:shd w:val="clear" w:color="auto" w:fill="auto"/>
            <w:noWrap/>
            <w:vAlign w:val="center"/>
          </w:tcPr>
          <w:p w:rsidR="00283D37" w:rsidRPr="00CF5FA1" w:rsidRDefault="00283D37" w:rsidP="00283D37">
            <w:pPr>
              <w:jc w:val="center"/>
              <w:rPr>
                <w:rFonts w:asciiTheme="minorEastAsia" w:eastAsiaTheme="minorEastAsia" w:hAnsiTheme="minorEastAsia" w:cs="宋体"/>
                <w:szCs w:val="21"/>
              </w:rPr>
            </w:pPr>
            <w:r w:rsidRPr="00CF5FA1">
              <w:rPr>
                <w:rFonts w:asciiTheme="minorEastAsia" w:eastAsiaTheme="minorEastAsia" w:hAnsiTheme="minorEastAsia" w:cs="宋体" w:hint="eastAsia"/>
                <w:szCs w:val="21"/>
              </w:rPr>
              <w:t>负债总额</w:t>
            </w:r>
          </w:p>
        </w:tc>
        <w:tc>
          <w:tcPr>
            <w:tcW w:w="1830" w:type="pct"/>
            <w:tcBorders>
              <w:top w:val="nil"/>
              <w:left w:val="nil"/>
              <w:bottom w:val="single" w:sz="4" w:space="0" w:color="auto"/>
              <w:right w:val="single" w:sz="4" w:space="0" w:color="auto"/>
            </w:tcBorders>
            <w:shd w:val="clear" w:color="auto" w:fill="auto"/>
            <w:noWrap/>
            <w:vAlign w:val="bottom"/>
          </w:tcPr>
          <w:p w:rsidR="00283D37" w:rsidRPr="00CF5FA1" w:rsidRDefault="00283D37" w:rsidP="00283D37">
            <w:pPr>
              <w:jc w:val="right"/>
              <w:rPr>
                <w:rFonts w:asciiTheme="minorEastAsia" w:eastAsiaTheme="minorEastAsia" w:hAnsiTheme="minorEastAsia"/>
                <w:color w:val="000000"/>
                <w:szCs w:val="21"/>
              </w:rPr>
            </w:pPr>
            <w:r w:rsidRPr="00CF5FA1">
              <w:rPr>
                <w:rFonts w:asciiTheme="minorEastAsia" w:eastAsiaTheme="minorEastAsia" w:hAnsiTheme="minorEastAsia" w:hint="eastAsia"/>
                <w:color w:val="000000"/>
                <w:szCs w:val="21"/>
              </w:rPr>
              <w:t>196,755.86</w:t>
            </w:r>
          </w:p>
        </w:tc>
        <w:tc>
          <w:tcPr>
            <w:tcW w:w="1776" w:type="pct"/>
            <w:tcBorders>
              <w:top w:val="nil"/>
              <w:left w:val="nil"/>
              <w:bottom w:val="single" w:sz="4" w:space="0" w:color="auto"/>
              <w:right w:val="single" w:sz="4" w:space="0" w:color="auto"/>
            </w:tcBorders>
            <w:shd w:val="clear" w:color="auto" w:fill="auto"/>
            <w:noWrap/>
            <w:vAlign w:val="bottom"/>
          </w:tcPr>
          <w:p w:rsidR="00283D37" w:rsidRPr="00CF5FA1" w:rsidRDefault="00283D37" w:rsidP="00283D37">
            <w:pPr>
              <w:jc w:val="right"/>
              <w:rPr>
                <w:rFonts w:asciiTheme="minorEastAsia" w:eastAsiaTheme="minorEastAsia" w:hAnsiTheme="minorEastAsia"/>
                <w:szCs w:val="21"/>
              </w:rPr>
            </w:pPr>
            <w:r w:rsidRPr="00CF5FA1">
              <w:rPr>
                <w:rFonts w:asciiTheme="minorEastAsia" w:eastAsiaTheme="minorEastAsia" w:hAnsiTheme="minorEastAsia" w:hint="eastAsia"/>
                <w:szCs w:val="21"/>
              </w:rPr>
              <w:t xml:space="preserve">            185,187.60 </w:t>
            </w:r>
          </w:p>
        </w:tc>
      </w:tr>
      <w:tr w:rsidR="00283D37" w:rsidRPr="00CF5FA1" w:rsidTr="00BE0A20">
        <w:trPr>
          <w:trHeight w:val="270"/>
        </w:trPr>
        <w:tc>
          <w:tcPr>
            <w:tcW w:w="1394" w:type="pct"/>
            <w:tcBorders>
              <w:top w:val="nil"/>
              <w:left w:val="single" w:sz="4" w:space="0" w:color="auto"/>
              <w:bottom w:val="single" w:sz="4" w:space="0" w:color="auto"/>
              <w:right w:val="single" w:sz="4" w:space="0" w:color="auto"/>
            </w:tcBorders>
            <w:shd w:val="clear" w:color="auto" w:fill="auto"/>
            <w:noWrap/>
            <w:vAlign w:val="center"/>
          </w:tcPr>
          <w:p w:rsidR="00283D37" w:rsidRPr="00CF5FA1" w:rsidRDefault="00283D37" w:rsidP="00283D37">
            <w:pPr>
              <w:jc w:val="center"/>
              <w:rPr>
                <w:rFonts w:asciiTheme="minorEastAsia" w:eastAsiaTheme="minorEastAsia" w:hAnsiTheme="minorEastAsia" w:cs="宋体"/>
                <w:szCs w:val="21"/>
              </w:rPr>
            </w:pPr>
            <w:r w:rsidRPr="00CF5FA1">
              <w:rPr>
                <w:rFonts w:asciiTheme="minorEastAsia" w:eastAsiaTheme="minorEastAsia" w:hAnsiTheme="minorEastAsia" w:cs="宋体" w:hint="eastAsia"/>
                <w:szCs w:val="21"/>
              </w:rPr>
              <w:t>资产净额</w:t>
            </w:r>
          </w:p>
        </w:tc>
        <w:tc>
          <w:tcPr>
            <w:tcW w:w="1830" w:type="pct"/>
            <w:tcBorders>
              <w:top w:val="nil"/>
              <w:left w:val="nil"/>
              <w:bottom w:val="single" w:sz="4" w:space="0" w:color="auto"/>
              <w:right w:val="single" w:sz="4" w:space="0" w:color="auto"/>
            </w:tcBorders>
            <w:shd w:val="clear" w:color="auto" w:fill="auto"/>
            <w:noWrap/>
            <w:vAlign w:val="bottom"/>
          </w:tcPr>
          <w:p w:rsidR="00283D37" w:rsidRPr="00CF5FA1" w:rsidRDefault="00283D37" w:rsidP="00283D37">
            <w:pPr>
              <w:jc w:val="right"/>
              <w:rPr>
                <w:rFonts w:asciiTheme="minorEastAsia" w:eastAsiaTheme="minorEastAsia" w:hAnsiTheme="minorEastAsia"/>
                <w:color w:val="000000"/>
                <w:szCs w:val="21"/>
              </w:rPr>
            </w:pPr>
            <w:r w:rsidRPr="00CF5FA1">
              <w:rPr>
                <w:rFonts w:asciiTheme="minorEastAsia" w:eastAsiaTheme="minorEastAsia" w:hAnsiTheme="minorEastAsia" w:hint="eastAsia"/>
                <w:color w:val="000000"/>
                <w:szCs w:val="21"/>
              </w:rPr>
              <w:t>189,713.70</w:t>
            </w:r>
          </w:p>
        </w:tc>
        <w:tc>
          <w:tcPr>
            <w:tcW w:w="1776" w:type="pct"/>
            <w:tcBorders>
              <w:top w:val="nil"/>
              <w:left w:val="nil"/>
              <w:bottom w:val="single" w:sz="4" w:space="0" w:color="auto"/>
              <w:right w:val="single" w:sz="4" w:space="0" w:color="auto"/>
            </w:tcBorders>
            <w:shd w:val="clear" w:color="auto" w:fill="auto"/>
            <w:noWrap/>
            <w:vAlign w:val="bottom"/>
          </w:tcPr>
          <w:p w:rsidR="00283D37" w:rsidRPr="00CF5FA1" w:rsidRDefault="00283D37" w:rsidP="00283D37">
            <w:pPr>
              <w:jc w:val="right"/>
              <w:rPr>
                <w:rFonts w:asciiTheme="minorEastAsia" w:eastAsiaTheme="minorEastAsia" w:hAnsiTheme="minorEastAsia"/>
                <w:szCs w:val="21"/>
              </w:rPr>
            </w:pPr>
            <w:r w:rsidRPr="00CF5FA1">
              <w:rPr>
                <w:rFonts w:asciiTheme="minorEastAsia" w:eastAsiaTheme="minorEastAsia" w:hAnsiTheme="minorEastAsia" w:hint="eastAsia"/>
                <w:szCs w:val="21"/>
              </w:rPr>
              <w:t xml:space="preserve">            18</w:t>
            </w:r>
            <w:r w:rsidRPr="00CF5FA1">
              <w:rPr>
                <w:rFonts w:asciiTheme="minorEastAsia" w:eastAsiaTheme="minorEastAsia" w:hAnsiTheme="minorEastAsia"/>
                <w:szCs w:val="21"/>
              </w:rPr>
              <w:t>5</w:t>
            </w:r>
            <w:r w:rsidRPr="00CF5FA1">
              <w:rPr>
                <w:rFonts w:asciiTheme="minorEastAsia" w:eastAsiaTheme="minorEastAsia" w:hAnsiTheme="minorEastAsia" w:hint="eastAsia"/>
                <w:szCs w:val="21"/>
              </w:rPr>
              <w:t>,</w:t>
            </w:r>
            <w:r w:rsidRPr="00CF5FA1">
              <w:rPr>
                <w:rFonts w:asciiTheme="minorEastAsia" w:eastAsiaTheme="minorEastAsia" w:hAnsiTheme="minorEastAsia"/>
                <w:szCs w:val="21"/>
              </w:rPr>
              <w:t>183.97</w:t>
            </w:r>
            <w:r w:rsidRPr="00CF5FA1">
              <w:rPr>
                <w:rFonts w:asciiTheme="minorEastAsia" w:eastAsiaTheme="minorEastAsia" w:hAnsiTheme="minorEastAsia" w:hint="eastAsia"/>
                <w:szCs w:val="21"/>
              </w:rPr>
              <w:t xml:space="preserve"> </w:t>
            </w:r>
          </w:p>
        </w:tc>
      </w:tr>
      <w:tr w:rsidR="00BE0A20" w:rsidRPr="00CF5FA1" w:rsidTr="00BE0A20">
        <w:trPr>
          <w:trHeight w:val="270"/>
        </w:trPr>
        <w:tc>
          <w:tcPr>
            <w:tcW w:w="1394" w:type="pct"/>
            <w:tcBorders>
              <w:top w:val="nil"/>
              <w:left w:val="single" w:sz="4" w:space="0" w:color="auto"/>
              <w:bottom w:val="single" w:sz="4" w:space="0" w:color="auto"/>
              <w:right w:val="single" w:sz="4" w:space="0" w:color="auto"/>
            </w:tcBorders>
            <w:shd w:val="clear" w:color="auto" w:fill="auto"/>
            <w:noWrap/>
            <w:vAlign w:val="center"/>
          </w:tcPr>
          <w:p w:rsidR="00BE0A20" w:rsidRPr="00CF5FA1" w:rsidRDefault="00BE0A20" w:rsidP="00EC4C61">
            <w:pPr>
              <w:rPr>
                <w:rFonts w:asciiTheme="minorEastAsia" w:eastAsiaTheme="minorEastAsia" w:hAnsiTheme="minorEastAsia" w:cs="宋体"/>
                <w:szCs w:val="21"/>
              </w:rPr>
            </w:pPr>
            <w:r w:rsidRPr="00CF5FA1">
              <w:rPr>
                <w:rFonts w:asciiTheme="minorEastAsia" w:eastAsiaTheme="minorEastAsia" w:hAnsiTheme="minorEastAsia" w:cs="宋体" w:hint="eastAsia"/>
                <w:szCs w:val="21"/>
              </w:rPr>
              <w:t xml:space="preserve">　</w:t>
            </w:r>
          </w:p>
        </w:tc>
        <w:tc>
          <w:tcPr>
            <w:tcW w:w="1830" w:type="pct"/>
            <w:tcBorders>
              <w:top w:val="nil"/>
              <w:left w:val="nil"/>
              <w:bottom w:val="single" w:sz="4" w:space="0" w:color="auto"/>
              <w:right w:val="single" w:sz="4" w:space="0" w:color="auto"/>
            </w:tcBorders>
            <w:shd w:val="clear" w:color="auto" w:fill="auto"/>
            <w:noWrap/>
            <w:vAlign w:val="center"/>
          </w:tcPr>
          <w:p w:rsidR="00BE0A20" w:rsidRPr="00CF5FA1" w:rsidRDefault="00BE0A20" w:rsidP="00EC4C61">
            <w:pPr>
              <w:jc w:val="right"/>
              <w:rPr>
                <w:rFonts w:asciiTheme="minorEastAsia" w:eastAsiaTheme="minorEastAsia" w:hAnsiTheme="minorEastAsia" w:cs="宋体"/>
                <w:b/>
                <w:szCs w:val="21"/>
              </w:rPr>
            </w:pPr>
            <w:r w:rsidRPr="00CF5FA1">
              <w:rPr>
                <w:rFonts w:asciiTheme="minorEastAsia" w:eastAsiaTheme="minorEastAsia" w:hAnsiTheme="minorEastAsia" w:cs="宋体" w:hint="eastAsia"/>
                <w:b/>
                <w:szCs w:val="21"/>
              </w:rPr>
              <w:t xml:space="preserve"> 2021年1-9月（未经审计） </w:t>
            </w:r>
          </w:p>
        </w:tc>
        <w:tc>
          <w:tcPr>
            <w:tcW w:w="1776" w:type="pct"/>
            <w:tcBorders>
              <w:top w:val="nil"/>
              <w:left w:val="nil"/>
              <w:bottom w:val="single" w:sz="4" w:space="0" w:color="auto"/>
              <w:right w:val="single" w:sz="4" w:space="0" w:color="auto"/>
            </w:tcBorders>
            <w:shd w:val="clear" w:color="auto" w:fill="auto"/>
            <w:noWrap/>
            <w:vAlign w:val="center"/>
          </w:tcPr>
          <w:p w:rsidR="00BE0A20" w:rsidRPr="00CF5FA1" w:rsidRDefault="00BE0A20" w:rsidP="00EC4C61">
            <w:pPr>
              <w:jc w:val="right"/>
              <w:rPr>
                <w:rFonts w:asciiTheme="minorEastAsia" w:eastAsiaTheme="minorEastAsia" w:hAnsiTheme="minorEastAsia" w:cs="宋体"/>
                <w:b/>
                <w:szCs w:val="21"/>
              </w:rPr>
            </w:pPr>
            <w:r w:rsidRPr="00CF5FA1">
              <w:rPr>
                <w:rFonts w:asciiTheme="minorEastAsia" w:eastAsiaTheme="minorEastAsia" w:hAnsiTheme="minorEastAsia" w:cs="宋体" w:hint="eastAsia"/>
                <w:b/>
                <w:szCs w:val="21"/>
              </w:rPr>
              <w:t xml:space="preserve"> 2020年度（已经审计） </w:t>
            </w:r>
          </w:p>
        </w:tc>
      </w:tr>
      <w:tr w:rsidR="00BE0A20" w:rsidRPr="00CF5FA1" w:rsidTr="00BE0A20">
        <w:trPr>
          <w:trHeight w:val="270"/>
        </w:trPr>
        <w:tc>
          <w:tcPr>
            <w:tcW w:w="1394" w:type="pct"/>
            <w:tcBorders>
              <w:top w:val="nil"/>
              <w:left w:val="single" w:sz="4" w:space="0" w:color="auto"/>
              <w:bottom w:val="single" w:sz="4" w:space="0" w:color="auto"/>
              <w:right w:val="single" w:sz="4" w:space="0" w:color="auto"/>
            </w:tcBorders>
            <w:shd w:val="clear" w:color="auto" w:fill="auto"/>
            <w:noWrap/>
            <w:vAlign w:val="center"/>
          </w:tcPr>
          <w:p w:rsidR="00BE0A20" w:rsidRPr="00CF5FA1" w:rsidRDefault="00BE0A20" w:rsidP="00EC4C61">
            <w:pPr>
              <w:rPr>
                <w:rFonts w:asciiTheme="minorEastAsia" w:eastAsiaTheme="minorEastAsia" w:hAnsiTheme="minorEastAsia" w:cs="宋体"/>
                <w:szCs w:val="21"/>
              </w:rPr>
            </w:pPr>
            <w:r w:rsidRPr="00CF5FA1">
              <w:rPr>
                <w:rFonts w:asciiTheme="minorEastAsia" w:eastAsiaTheme="minorEastAsia" w:hAnsiTheme="minorEastAsia" w:cs="宋体" w:hint="eastAsia"/>
                <w:szCs w:val="21"/>
              </w:rPr>
              <w:t xml:space="preserve"> 经营活动产生的现金流量净额 </w:t>
            </w:r>
          </w:p>
        </w:tc>
        <w:tc>
          <w:tcPr>
            <w:tcW w:w="1830" w:type="pct"/>
            <w:tcBorders>
              <w:top w:val="nil"/>
              <w:left w:val="nil"/>
              <w:bottom w:val="single" w:sz="4" w:space="0" w:color="auto"/>
              <w:right w:val="single" w:sz="4" w:space="0" w:color="auto"/>
            </w:tcBorders>
            <w:shd w:val="clear" w:color="auto" w:fill="auto"/>
            <w:noWrap/>
            <w:vAlign w:val="center"/>
          </w:tcPr>
          <w:p w:rsidR="00BE0A20" w:rsidRPr="00CF5FA1" w:rsidRDefault="00BE0A20" w:rsidP="00EC4C61">
            <w:pPr>
              <w:jc w:val="right"/>
              <w:rPr>
                <w:rFonts w:asciiTheme="minorEastAsia" w:eastAsiaTheme="minorEastAsia" w:hAnsiTheme="minorEastAsia" w:cs="宋体"/>
                <w:szCs w:val="21"/>
              </w:rPr>
            </w:pPr>
            <w:r w:rsidRPr="00CF5FA1">
              <w:rPr>
                <w:rFonts w:asciiTheme="minorEastAsia" w:eastAsiaTheme="minorEastAsia" w:hAnsiTheme="minorEastAsia" w:cs="宋体"/>
                <w:szCs w:val="21"/>
              </w:rPr>
              <w:t>29,174.47</w:t>
            </w:r>
          </w:p>
        </w:tc>
        <w:tc>
          <w:tcPr>
            <w:tcW w:w="1776" w:type="pct"/>
            <w:tcBorders>
              <w:top w:val="nil"/>
              <w:left w:val="nil"/>
              <w:bottom w:val="single" w:sz="4" w:space="0" w:color="auto"/>
              <w:right w:val="single" w:sz="4" w:space="0" w:color="auto"/>
            </w:tcBorders>
            <w:shd w:val="clear" w:color="auto" w:fill="auto"/>
            <w:noWrap/>
            <w:vAlign w:val="center"/>
          </w:tcPr>
          <w:p w:rsidR="00BE0A20" w:rsidRPr="00CF5FA1" w:rsidRDefault="00BE0A20" w:rsidP="00EC4C61">
            <w:pPr>
              <w:jc w:val="right"/>
              <w:rPr>
                <w:rFonts w:asciiTheme="minorEastAsia" w:eastAsiaTheme="minorEastAsia" w:hAnsiTheme="minorEastAsia" w:cs="宋体"/>
                <w:szCs w:val="21"/>
              </w:rPr>
            </w:pPr>
            <w:r w:rsidRPr="00CF5FA1">
              <w:rPr>
                <w:rFonts w:asciiTheme="minorEastAsia" w:eastAsiaTheme="minorEastAsia" w:hAnsiTheme="minorEastAsia" w:cs="宋体"/>
                <w:szCs w:val="21"/>
              </w:rPr>
              <w:t>-41,455.84</w:t>
            </w:r>
          </w:p>
        </w:tc>
      </w:tr>
    </w:tbl>
    <w:p w:rsidR="00BE0A20" w:rsidRDefault="00BE0A20" w:rsidP="00BE0A20">
      <w:pPr>
        <w:spacing w:line="360" w:lineRule="auto"/>
        <w:ind w:firstLineChars="200" w:firstLine="480"/>
        <w:rPr>
          <w:rFonts w:asciiTheme="minorEastAsia" w:hAnsiTheme="minorEastAsia"/>
          <w:sz w:val="24"/>
        </w:rPr>
      </w:pPr>
      <w:r w:rsidRPr="006C187B">
        <w:rPr>
          <w:rFonts w:asciiTheme="minorEastAsia" w:hAnsiTheme="minorEastAsia" w:hint="eastAsia"/>
          <w:sz w:val="24"/>
        </w:rPr>
        <w:t>2021年9月末，公司资产负债率5</w:t>
      </w:r>
      <w:r w:rsidRPr="006C187B">
        <w:rPr>
          <w:rFonts w:asciiTheme="minorEastAsia" w:hAnsiTheme="minorEastAsia"/>
          <w:sz w:val="24"/>
        </w:rPr>
        <w:t>0.9</w:t>
      </w:r>
      <w:r w:rsidR="00283D37">
        <w:rPr>
          <w:rFonts w:asciiTheme="minorEastAsia" w:hAnsiTheme="minorEastAsia"/>
          <w:sz w:val="24"/>
        </w:rPr>
        <w:t>1</w:t>
      </w:r>
      <w:r w:rsidRPr="006C187B">
        <w:rPr>
          <w:rFonts w:asciiTheme="minorEastAsia" w:hAnsiTheme="minorEastAsia" w:hint="eastAsia"/>
          <w:sz w:val="24"/>
        </w:rPr>
        <w:t>%，公司资产负债率较低，资金结构合理，运营健康，公司不存在负有大额负债的同时购买大额</w:t>
      </w:r>
      <w:bookmarkStart w:id="0" w:name="_GoBack"/>
      <w:bookmarkEnd w:id="0"/>
      <w:r w:rsidRPr="006C187B">
        <w:rPr>
          <w:rFonts w:asciiTheme="minorEastAsia" w:hAnsiTheme="minorEastAsia" w:hint="eastAsia"/>
          <w:sz w:val="24"/>
        </w:rPr>
        <w:t>理财产品的情形。</w:t>
      </w:r>
      <w:r w:rsidRPr="006C187B">
        <w:rPr>
          <w:rFonts w:asciiTheme="minorEastAsia" w:hAnsiTheme="minorEastAsia"/>
          <w:sz w:val="24"/>
        </w:rPr>
        <w:t>公</w:t>
      </w:r>
      <w:r>
        <w:rPr>
          <w:rFonts w:asciiTheme="minorEastAsia" w:hAnsiTheme="minorEastAsia"/>
          <w:sz w:val="24"/>
        </w:rPr>
        <w:t>司使用闲置自有资金进行现金管理，不影响公司日常资金正常周转需要，不会影响公司主营业务的正常发展。通过进行现金管理，可以提高资金使用效率，能获得一定的投资收益，提高公司的整体业绩水平，为公司股东谋求更多的投资回报。</w:t>
      </w:r>
    </w:p>
    <w:p w:rsidR="00BE0A20" w:rsidRDefault="00BE0A20" w:rsidP="00BE0A20">
      <w:pPr>
        <w:spacing w:line="360" w:lineRule="auto"/>
        <w:ind w:firstLineChars="200" w:firstLine="480"/>
        <w:rPr>
          <w:rFonts w:asciiTheme="minorEastAsia" w:hAnsiTheme="minorEastAsia"/>
          <w:sz w:val="24"/>
        </w:rPr>
      </w:pPr>
    </w:p>
    <w:p w:rsidR="001976DD" w:rsidRDefault="001976DD" w:rsidP="001976DD">
      <w:pPr>
        <w:widowControl/>
        <w:spacing w:line="360" w:lineRule="auto"/>
        <w:ind w:firstLineChars="200" w:firstLine="482"/>
        <w:rPr>
          <w:rFonts w:asciiTheme="minorEastAsia" w:eastAsiaTheme="minorEastAsia" w:hAnsiTheme="minorEastAsia" w:cs="宋体"/>
          <w:b/>
          <w:color w:val="000000"/>
          <w:kern w:val="0"/>
          <w:sz w:val="24"/>
        </w:rPr>
      </w:pPr>
      <w:r>
        <w:rPr>
          <w:rFonts w:asciiTheme="minorEastAsia" w:eastAsiaTheme="minorEastAsia" w:hAnsiTheme="minorEastAsia" w:cs="宋体" w:hint="eastAsia"/>
          <w:b/>
          <w:color w:val="000000"/>
          <w:kern w:val="0"/>
          <w:sz w:val="24"/>
        </w:rPr>
        <w:t>三、风险提示</w:t>
      </w:r>
    </w:p>
    <w:p w:rsidR="001976DD" w:rsidRPr="0099191D" w:rsidRDefault="001976DD" w:rsidP="001976DD">
      <w:pPr>
        <w:spacing w:line="360" w:lineRule="auto"/>
        <w:ind w:firstLineChars="200" w:firstLine="480"/>
        <w:rPr>
          <w:rFonts w:asciiTheme="minorEastAsia" w:eastAsiaTheme="minorEastAsia" w:hAnsiTheme="minorEastAsia"/>
          <w:sz w:val="24"/>
        </w:rPr>
      </w:pPr>
      <w:r w:rsidRPr="0099191D">
        <w:rPr>
          <w:rFonts w:asciiTheme="minorEastAsia" w:eastAsiaTheme="minorEastAsia" w:hAnsiTheme="minorEastAsia" w:hint="eastAsia"/>
          <w:sz w:val="24"/>
        </w:rPr>
        <w:t>公司现金管理产品仅限于安全性高、低风险、流动性好、稳健型理财产品以及结构性存款。主要风险如下：</w:t>
      </w:r>
    </w:p>
    <w:p w:rsidR="001976DD" w:rsidRPr="0099191D" w:rsidRDefault="001976DD" w:rsidP="001976DD">
      <w:pPr>
        <w:spacing w:line="360" w:lineRule="auto"/>
        <w:ind w:firstLineChars="200" w:firstLine="480"/>
        <w:rPr>
          <w:rFonts w:asciiTheme="minorEastAsia" w:eastAsiaTheme="minorEastAsia" w:hAnsiTheme="minorEastAsia"/>
          <w:sz w:val="24"/>
        </w:rPr>
      </w:pPr>
      <w:r w:rsidRPr="0099191D">
        <w:rPr>
          <w:rFonts w:asciiTheme="minorEastAsia" w:eastAsiaTheme="minorEastAsia" w:hAnsiTheme="minorEastAsia" w:hint="eastAsia"/>
          <w:sz w:val="24"/>
        </w:rPr>
        <w:t>（1）尽管公司现金管理产品属于低风险投资品种，但金融市场受宏观经济的影响较大，不排除该项投资受到市场波动的影响。</w:t>
      </w:r>
    </w:p>
    <w:p w:rsidR="001976DD" w:rsidRPr="0099191D" w:rsidRDefault="001976DD" w:rsidP="001976DD">
      <w:pPr>
        <w:spacing w:line="360" w:lineRule="auto"/>
        <w:ind w:firstLineChars="200" w:firstLine="480"/>
        <w:rPr>
          <w:rFonts w:asciiTheme="minorEastAsia" w:eastAsiaTheme="minorEastAsia" w:hAnsiTheme="minorEastAsia"/>
          <w:sz w:val="24"/>
        </w:rPr>
      </w:pPr>
      <w:r w:rsidRPr="0099191D">
        <w:rPr>
          <w:rFonts w:asciiTheme="minorEastAsia" w:eastAsiaTheme="minorEastAsia" w:hAnsiTheme="minorEastAsia" w:hint="eastAsia"/>
          <w:sz w:val="24"/>
        </w:rPr>
        <w:t>（2）公司将根据经济形势以及金融市场的变化适时适量的介入，因此现金管理的实际收益不可预期。</w:t>
      </w:r>
    </w:p>
    <w:p w:rsidR="001976DD" w:rsidRPr="0099191D" w:rsidRDefault="001976DD" w:rsidP="001976DD">
      <w:pPr>
        <w:spacing w:line="360" w:lineRule="auto"/>
        <w:ind w:firstLineChars="200" w:firstLine="480"/>
        <w:rPr>
          <w:rFonts w:asciiTheme="minorEastAsia" w:eastAsiaTheme="minorEastAsia" w:hAnsiTheme="minorEastAsia"/>
          <w:sz w:val="24"/>
        </w:rPr>
      </w:pPr>
      <w:r w:rsidRPr="0099191D">
        <w:rPr>
          <w:rFonts w:asciiTheme="minorEastAsia" w:eastAsiaTheme="minorEastAsia" w:hAnsiTheme="minorEastAsia" w:hint="eastAsia"/>
          <w:sz w:val="24"/>
        </w:rPr>
        <w:t>（3）相关工作人员的操作风险。</w:t>
      </w:r>
    </w:p>
    <w:p w:rsidR="001976DD" w:rsidRPr="0099191D" w:rsidRDefault="001976DD" w:rsidP="001976DD">
      <w:pPr>
        <w:spacing w:line="360" w:lineRule="auto"/>
        <w:ind w:firstLineChars="200" w:firstLine="480"/>
        <w:rPr>
          <w:rFonts w:asciiTheme="minorEastAsia" w:eastAsiaTheme="minorEastAsia" w:hAnsiTheme="minorEastAsia"/>
          <w:sz w:val="24"/>
        </w:rPr>
      </w:pPr>
      <w:r w:rsidRPr="0099191D">
        <w:rPr>
          <w:rFonts w:asciiTheme="minorEastAsia" w:eastAsiaTheme="minorEastAsia" w:hAnsiTheme="minorEastAsia" w:hint="eastAsia"/>
          <w:sz w:val="24"/>
        </w:rPr>
        <w:t>针对上述风险，公司将严格按照《上海证券交易所股票上市规则》、</w:t>
      </w:r>
      <w:r w:rsidRPr="0087316E">
        <w:rPr>
          <w:rFonts w:asciiTheme="minorEastAsia" w:eastAsiaTheme="minorEastAsia" w:hAnsiTheme="minorEastAsia" w:hint="eastAsia"/>
          <w:sz w:val="24"/>
        </w:rPr>
        <w:t>《公司章程》</w:t>
      </w:r>
      <w:r w:rsidRPr="0099191D">
        <w:rPr>
          <w:rFonts w:asciiTheme="minorEastAsia" w:eastAsiaTheme="minorEastAsia" w:hAnsiTheme="minorEastAsia" w:hint="eastAsia"/>
          <w:sz w:val="24"/>
        </w:rPr>
        <w:t>等相关法律法规、规章制度，对现金管理事项进行决策、管理、检查和监督。在保障公司业务正常开展的前提下，谨慎选择理财产品种类，做好投资组合，确定投资期限，控制投资风险。</w:t>
      </w:r>
    </w:p>
    <w:p w:rsidR="001976DD" w:rsidRDefault="001976DD" w:rsidP="001976DD">
      <w:pPr>
        <w:widowControl/>
        <w:spacing w:line="360" w:lineRule="auto"/>
        <w:rPr>
          <w:rFonts w:asciiTheme="minorEastAsia" w:eastAsiaTheme="minorEastAsia" w:hAnsiTheme="minorEastAsia" w:cs="宋体"/>
          <w:color w:val="000000"/>
          <w:kern w:val="0"/>
          <w:sz w:val="24"/>
        </w:rPr>
      </w:pPr>
    </w:p>
    <w:p w:rsidR="001976DD" w:rsidRDefault="001976DD" w:rsidP="001976DD">
      <w:pPr>
        <w:widowControl/>
        <w:spacing w:line="360" w:lineRule="auto"/>
        <w:ind w:firstLineChars="200" w:firstLine="482"/>
        <w:rPr>
          <w:rFonts w:asciiTheme="minorEastAsia" w:eastAsiaTheme="minorEastAsia" w:hAnsiTheme="minorEastAsia" w:cs="宋体"/>
          <w:b/>
          <w:color w:val="000000"/>
          <w:kern w:val="0"/>
          <w:sz w:val="24"/>
        </w:rPr>
      </w:pPr>
      <w:r>
        <w:rPr>
          <w:rFonts w:asciiTheme="minorEastAsia" w:eastAsiaTheme="minorEastAsia" w:hAnsiTheme="minorEastAsia" w:cs="宋体" w:hint="eastAsia"/>
          <w:b/>
          <w:color w:val="000000"/>
          <w:kern w:val="0"/>
          <w:sz w:val="24"/>
        </w:rPr>
        <w:t>四、决策程序的履行及监事会、独立董事意见</w:t>
      </w:r>
    </w:p>
    <w:p w:rsidR="001976DD" w:rsidRDefault="001976DD" w:rsidP="001976DD">
      <w:pPr>
        <w:widowControl/>
        <w:spacing w:line="360" w:lineRule="auto"/>
        <w:ind w:firstLineChars="200" w:firstLine="480"/>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（一）决策程序的履行</w:t>
      </w:r>
    </w:p>
    <w:p w:rsidR="001976DD" w:rsidRDefault="001976DD" w:rsidP="001976DD">
      <w:pPr>
        <w:pStyle w:val="a5"/>
        <w:spacing w:line="360" w:lineRule="auto"/>
        <w:ind w:firstLineChars="200" w:firstLine="480"/>
        <w:rPr>
          <w:rFonts w:ascii="宋体" w:hAnsi="宋体"/>
          <w:sz w:val="24"/>
        </w:rPr>
      </w:pPr>
      <w:r>
        <w:rPr>
          <w:rFonts w:ascii="宋体" w:hAnsi="宋体" w:hint="eastAsia"/>
          <w:sz w:val="24"/>
        </w:rPr>
        <w:t>2021年10月28日，公司召开</w:t>
      </w:r>
      <w:r w:rsidRPr="001976DD">
        <w:rPr>
          <w:rFonts w:ascii="宋体" w:hAnsi="宋体" w:hint="eastAsia"/>
          <w:sz w:val="24"/>
        </w:rPr>
        <w:t>第十届董事会第三次会议（通讯表决）和第十届监事会第三次会议（通讯表决）</w:t>
      </w:r>
      <w:r>
        <w:rPr>
          <w:rFonts w:ascii="宋体" w:hAnsi="宋体" w:hint="eastAsia"/>
          <w:sz w:val="24"/>
        </w:rPr>
        <w:t>，审议通过了《</w:t>
      </w:r>
      <w:r w:rsidRPr="001976DD">
        <w:rPr>
          <w:rFonts w:ascii="宋体" w:hAnsi="宋体" w:hint="eastAsia"/>
          <w:sz w:val="24"/>
        </w:rPr>
        <w:t>江</w:t>
      </w:r>
      <w:r>
        <w:rPr>
          <w:rFonts w:ascii="宋体" w:hAnsi="宋体" w:hint="eastAsia"/>
          <w:sz w:val="24"/>
        </w:rPr>
        <w:t>苏吴中医药发展股份有限公司关于使用闲置自有资金进行现金管理的议案》，根据《上海证券交易所股票</w:t>
      </w:r>
      <w:r>
        <w:rPr>
          <w:rFonts w:ascii="宋体" w:hAnsi="宋体" w:hint="eastAsia"/>
          <w:sz w:val="24"/>
        </w:rPr>
        <w:lastRenderedPageBreak/>
        <w:t>上市规则》和《公司章程》的相关规定，该事项无需提交公司股东大会审议。</w:t>
      </w:r>
    </w:p>
    <w:p w:rsidR="001976DD" w:rsidRDefault="001976DD" w:rsidP="001976DD">
      <w:pPr>
        <w:pStyle w:val="a5"/>
        <w:spacing w:line="360" w:lineRule="auto"/>
        <w:ind w:firstLineChars="200" w:firstLine="480"/>
        <w:rPr>
          <w:rFonts w:ascii="宋体" w:hAnsi="宋体"/>
          <w:sz w:val="24"/>
        </w:rPr>
      </w:pPr>
      <w:r>
        <w:rPr>
          <w:rFonts w:ascii="宋体" w:hAnsi="宋体" w:hint="eastAsia"/>
          <w:sz w:val="24"/>
        </w:rPr>
        <w:t>（二）监事会意见</w:t>
      </w:r>
    </w:p>
    <w:p w:rsidR="001976DD" w:rsidRPr="0087316E" w:rsidRDefault="001976DD" w:rsidP="001976DD">
      <w:pPr>
        <w:spacing w:line="460" w:lineRule="exact"/>
        <w:ind w:firstLineChars="200" w:firstLine="480"/>
        <w:rPr>
          <w:rFonts w:ascii="宋体" w:hAnsi="宋体"/>
          <w:sz w:val="24"/>
        </w:rPr>
      </w:pPr>
      <w:r>
        <w:rPr>
          <w:rFonts w:ascii="宋体" w:hAnsi="宋体" w:hint="eastAsia"/>
          <w:sz w:val="24"/>
        </w:rPr>
        <w:t>监事会经核查后认为：</w:t>
      </w:r>
      <w:r w:rsidRPr="008C6C44">
        <w:rPr>
          <w:rFonts w:ascii="宋体" w:hAnsi="宋体" w:hint="eastAsia"/>
          <w:sz w:val="24"/>
        </w:rPr>
        <w:t>在不影响公司正常经营及风险可控的前提下，公司使用闲置自有资金进行现金管理进一步提高了资金使用效率，增加公司投资收益。该事项的审议、决策程序符合有关法律法规和《公司章程》的规定。公司监事会同意公司及其</w:t>
      </w:r>
      <w:r w:rsidRPr="00480F87">
        <w:rPr>
          <w:rFonts w:ascii="宋体" w:hAnsi="宋体" w:hint="eastAsia"/>
          <w:sz w:val="24"/>
        </w:rPr>
        <w:t>全资子（孙）</w:t>
      </w:r>
      <w:r w:rsidRPr="007105AF">
        <w:rPr>
          <w:rFonts w:ascii="宋体" w:hAnsi="宋体" w:hint="eastAsia"/>
          <w:sz w:val="24"/>
        </w:rPr>
        <w:t>公司、控股子（孙）公司使用不超过人民币3.2亿元的暂时闲置自有资金进行现金管理，使用期限不超过12个月，资金可以循环滚动使用。</w:t>
      </w:r>
    </w:p>
    <w:p w:rsidR="001976DD" w:rsidRDefault="001976DD" w:rsidP="001976DD">
      <w:pPr>
        <w:pStyle w:val="a5"/>
        <w:spacing w:line="360" w:lineRule="auto"/>
        <w:ind w:firstLineChars="200" w:firstLine="480"/>
        <w:rPr>
          <w:rFonts w:ascii="宋体" w:hAnsi="宋体"/>
          <w:sz w:val="24"/>
        </w:rPr>
      </w:pPr>
      <w:r>
        <w:rPr>
          <w:rFonts w:ascii="宋体" w:hAnsi="宋体" w:hint="eastAsia"/>
          <w:sz w:val="24"/>
        </w:rPr>
        <w:t>（三）独立董事意见</w:t>
      </w:r>
    </w:p>
    <w:p w:rsidR="001976DD" w:rsidRDefault="001976DD" w:rsidP="001976DD">
      <w:pPr>
        <w:autoSpaceDE w:val="0"/>
        <w:autoSpaceDN w:val="0"/>
        <w:adjustRightInd w:val="0"/>
        <w:spacing w:line="360" w:lineRule="auto"/>
        <w:ind w:firstLineChars="200" w:firstLine="480"/>
        <w:rPr>
          <w:rFonts w:ascii="宋体" w:hAnsi="宋体"/>
          <w:sz w:val="24"/>
        </w:rPr>
      </w:pPr>
      <w:r>
        <w:rPr>
          <w:rFonts w:ascii="宋体" w:hAnsi="宋体" w:hint="eastAsia"/>
          <w:sz w:val="24"/>
        </w:rPr>
        <w:t>公司独立董事对此事项发表的独立意见如下：</w:t>
      </w:r>
    </w:p>
    <w:p w:rsidR="001976DD" w:rsidRPr="002D662D" w:rsidRDefault="001976DD" w:rsidP="001976DD">
      <w:pPr>
        <w:spacing w:line="360" w:lineRule="auto"/>
        <w:ind w:firstLineChars="200" w:firstLine="480"/>
        <w:rPr>
          <w:rFonts w:asciiTheme="minorEastAsia" w:hAnsiTheme="minorEastAsia"/>
          <w:sz w:val="24"/>
        </w:rPr>
      </w:pPr>
      <w:r w:rsidRPr="002D662D">
        <w:rPr>
          <w:rFonts w:asciiTheme="minorEastAsia" w:hAnsiTheme="minorEastAsia" w:hint="eastAsia"/>
          <w:sz w:val="24"/>
        </w:rPr>
        <w:t>公司在有效控制投资风险的前提下，对暂时闲置的自有资金进行现金管理，有利于提高公司资金使用效率，增加投资收益，符合公司及股东的</w:t>
      </w:r>
      <w:r w:rsidRPr="009F3FCD">
        <w:rPr>
          <w:rFonts w:asciiTheme="minorEastAsia" w:hAnsiTheme="minorEastAsia" w:hint="eastAsia"/>
          <w:sz w:val="24"/>
        </w:rPr>
        <w:t>利益</w:t>
      </w:r>
      <w:r w:rsidRPr="00955BC5">
        <w:rPr>
          <w:rFonts w:asciiTheme="minorEastAsia" w:hAnsiTheme="minorEastAsia" w:hint="eastAsia"/>
          <w:sz w:val="24"/>
        </w:rPr>
        <w:t>。利用闲置自有资金进行理财前提必须确保资金安全、及时收回、可控合理操作，并以保守稳健低风险理财产品为主。该事项</w:t>
      </w:r>
      <w:r w:rsidRPr="002D662D">
        <w:rPr>
          <w:rFonts w:asciiTheme="minorEastAsia" w:hAnsiTheme="minorEastAsia" w:hint="eastAsia"/>
          <w:sz w:val="24"/>
        </w:rPr>
        <w:t>的审议、决策</w:t>
      </w:r>
      <w:r w:rsidRPr="00CE13C9">
        <w:rPr>
          <w:rFonts w:asciiTheme="minorEastAsia" w:hAnsiTheme="minorEastAsia" w:hint="eastAsia"/>
          <w:sz w:val="24"/>
        </w:rPr>
        <w:t>程序符合相关法律法规和《公司章程》的规定，不存在侵害中小股东利益的情形。因此，我们同意公司使用不超过人民币3.2亿元暂时闲置自有资金进行现金管理，使用期限不超过12个月，资金可以循环滚动使用。</w:t>
      </w:r>
    </w:p>
    <w:p w:rsidR="001976DD" w:rsidRPr="006C187B" w:rsidRDefault="001976DD" w:rsidP="00BE0A20">
      <w:pPr>
        <w:spacing w:line="360" w:lineRule="auto"/>
        <w:ind w:firstLineChars="200" w:firstLine="480"/>
        <w:rPr>
          <w:rFonts w:asciiTheme="minorEastAsia" w:hAnsiTheme="minorEastAsia"/>
          <w:sz w:val="24"/>
        </w:rPr>
      </w:pPr>
    </w:p>
    <w:p w:rsidR="00BE0A20" w:rsidRDefault="001976DD" w:rsidP="00BE0A20">
      <w:pPr>
        <w:spacing w:line="360" w:lineRule="auto"/>
        <w:ind w:firstLineChars="200" w:firstLine="482"/>
        <w:rPr>
          <w:rFonts w:asciiTheme="minorEastAsia" w:hAnsiTheme="minorEastAsia" w:cs="宋体"/>
          <w:b/>
          <w:sz w:val="24"/>
        </w:rPr>
      </w:pPr>
      <w:r>
        <w:rPr>
          <w:rFonts w:asciiTheme="minorEastAsia" w:hAnsiTheme="minorEastAsia" w:cs="宋体" w:hint="eastAsia"/>
          <w:b/>
          <w:sz w:val="24"/>
        </w:rPr>
        <w:t>五</w:t>
      </w:r>
      <w:r w:rsidR="00BE0A20">
        <w:rPr>
          <w:rFonts w:asciiTheme="minorEastAsia" w:hAnsiTheme="minorEastAsia" w:cs="宋体" w:hint="eastAsia"/>
          <w:b/>
          <w:sz w:val="24"/>
        </w:rPr>
        <w:t>、截至本会议召开日，公司最近十二个月使用自有资金现金管理的情况</w:t>
      </w:r>
    </w:p>
    <w:p w:rsidR="00BE0A20" w:rsidRDefault="00BE0A20" w:rsidP="00BE0A20">
      <w:pPr>
        <w:tabs>
          <w:tab w:val="left" w:pos="1080"/>
        </w:tabs>
        <w:adjustRightInd w:val="0"/>
        <w:snapToGrid w:val="0"/>
        <w:spacing w:line="560" w:lineRule="exact"/>
        <w:ind w:firstLineChars="200" w:firstLine="420"/>
        <w:jc w:val="right"/>
        <w:rPr>
          <w:bCs/>
          <w:szCs w:val="21"/>
        </w:rPr>
      </w:pPr>
      <w:r>
        <w:rPr>
          <w:rFonts w:hint="eastAsia"/>
          <w:bCs/>
          <w:szCs w:val="21"/>
        </w:rPr>
        <w:t>金额：万元</w:t>
      </w:r>
    </w:p>
    <w:tbl>
      <w:tblPr>
        <w:tblW w:w="8407" w:type="dxa"/>
        <w:jc w:val="center"/>
        <w:tblBorders>
          <w:top w:val="thinThickSmallGap" w:sz="24" w:space="0" w:color="auto"/>
          <w:left w:val="thinThickSmallGap" w:sz="24" w:space="0" w:color="auto"/>
          <w:bottom w:val="thickThinSmallGap" w:sz="24" w:space="0" w:color="auto"/>
          <w:right w:val="thickThinSmallGap" w:sz="24" w:space="0" w:color="auto"/>
          <w:insideH w:val="single" w:sz="4" w:space="0" w:color="auto"/>
          <w:insideV w:val="single" w:sz="4" w:space="0" w:color="auto"/>
        </w:tblBorders>
        <w:tblLayout w:type="fixed"/>
        <w:tblLook w:val="04A0" w:firstRow="1" w:lastRow="0" w:firstColumn="1" w:lastColumn="0" w:noHBand="0" w:noVBand="1"/>
      </w:tblPr>
      <w:tblGrid>
        <w:gridCol w:w="760"/>
        <w:gridCol w:w="2410"/>
        <w:gridCol w:w="1134"/>
        <w:gridCol w:w="1134"/>
        <w:gridCol w:w="1520"/>
        <w:gridCol w:w="1449"/>
      </w:tblGrid>
      <w:tr w:rsidR="00BE0A20" w:rsidRPr="001976DD" w:rsidTr="00EC4C61">
        <w:trPr>
          <w:trHeight w:val="480"/>
          <w:jc w:val="center"/>
        </w:trPr>
        <w:tc>
          <w:tcPr>
            <w:tcW w:w="760" w:type="dxa"/>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b/>
                <w:szCs w:val="21"/>
              </w:rPr>
            </w:pPr>
            <w:r w:rsidRPr="001976DD">
              <w:rPr>
                <w:rFonts w:asciiTheme="minorEastAsia" w:eastAsiaTheme="minorEastAsia" w:hAnsiTheme="minorEastAsia" w:cs="宋体" w:hint="eastAsia"/>
                <w:b/>
                <w:szCs w:val="21"/>
              </w:rPr>
              <w:t>序号</w:t>
            </w:r>
          </w:p>
        </w:tc>
        <w:tc>
          <w:tcPr>
            <w:tcW w:w="2410" w:type="dxa"/>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b/>
                <w:szCs w:val="21"/>
              </w:rPr>
            </w:pPr>
            <w:r w:rsidRPr="001976DD">
              <w:rPr>
                <w:rFonts w:asciiTheme="minorEastAsia" w:eastAsiaTheme="minorEastAsia" w:hAnsiTheme="minorEastAsia" w:cs="宋体" w:hint="eastAsia"/>
                <w:b/>
                <w:szCs w:val="21"/>
              </w:rPr>
              <w:t>理财产品类型</w:t>
            </w:r>
          </w:p>
        </w:tc>
        <w:tc>
          <w:tcPr>
            <w:tcW w:w="1134" w:type="dxa"/>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b/>
                <w:szCs w:val="21"/>
              </w:rPr>
            </w:pPr>
            <w:r w:rsidRPr="001976DD">
              <w:rPr>
                <w:rFonts w:asciiTheme="minorEastAsia" w:eastAsiaTheme="minorEastAsia" w:hAnsiTheme="minorEastAsia" w:cs="宋体" w:hint="eastAsia"/>
                <w:b/>
                <w:szCs w:val="21"/>
              </w:rPr>
              <w:t>实际投入金额</w:t>
            </w:r>
          </w:p>
        </w:tc>
        <w:tc>
          <w:tcPr>
            <w:tcW w:w="1134" w:type="dxa"/>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b/>
                <w:szCs w:val="21"/>
              </w:rPr>
            </w:pPr>
            <w:r w:rsidRPr="001976DD">
              <w:rPr>
                <w:rFonts w:asciiTheme="minorEastAsia" w:eastAsiaTheme="minorEastAsia" w:hAnsiTheme="minorEastAsia" w:cs="宋体" w:hint="eastAsia"/>
                <w:b/>
                <w:szCs w:val="21"/>
              </w:rPr>
              <w:t>实际收回</w:t>
            </w:r>
          </w:p>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b/>
                <w:szCs w:val="21"/>
              </w:rPr>
            </w:pPr>
            <w:r w:rsidRPr="001976DD">
              <w:rPr>
                <w:rFonts w:asciiTheme="minorEastAsia" w:eastAsiaTheme="minorEastAsia" w:hAnsiTheme="minorEastAsia" w:cs="宋体" w:hint="eastAsia"/>
                <w:b/>
                <w:szCs w:val="21"/>
              </w:rPr>
              <w:t>本金</w:t>
            </w:r>
          </w:p>
        </w:tc>
        <w:tc>
          <w:tcPr>
            <w:tcW w:w="1520" w:type="dxa"/>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b/>
                <w:szCs w:val="21"/>
              </w:rPr>
            </w:pPr>
            <w:r w:rsidRPr="001976DD">
              <w:rPr>
                <w:rFonts w:asciiTheme="minorEastAsia" w:eastAsiaTheme="minorEastAsia" w:hAnsiTheme="minorEastAsia" w:cs="宋体" w:hint="eastAsia"/>
                <w:b/>
                <w:szCs w:val="21"/>
              </w:rPr>
              <w:t>实际收益</w:t>
            </w:r>
          </w:p>
        </w:tc>
        <w:tc>
          <w:tcPr>
            <w:tcW w:w="1449" w:type="dxa"/>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b/>
                <w:szCs w:val="21"/>
              </w:rPr>
            </w:pPr>
            <w:r w:rsidRPr="001976DD">
              <w:rPr>
                <w:rFonts w:asciiTheme="minorEastAsia" w:eastAsiaTheme="minorEastAsia" w:hAnsiTheme="minorEastAsia" w:cs="宋体" w:hint="eastAsia"/>
                <w:b/>
                <w:szCs w:val="21"/>
              </w:rPr>
              <w:t>尚未收回</w:t>
            </w:r>
          </w:p>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b/>
                <w:szCs w:val="21"/>
              </w:rPr>
            </w:pPr>
            <w:r w:rsidRPr="001976DD">
              <w:rPr>
                <w:rFonts w:asciiTheme="minorEastAsia" w:eastAsiaTheme="minorEastAsia" w:hAnsiTheme="minorEastAsia" w:cs="宋体" w:hint="eastAsia"/>
                <w:b/>
                <w:szCs w:val="21"/>
              </w:rPr>
              <w:t>本金金额</w:t>
            </w:r>
          </w:p>
        </w:tc>
      </w:tr>
      <w:tr w:rsidR="00BE0A20" w:rsidRPr="001976DD" w:rsidTr="00EC4C61">
        <w:trPr>
          <w:trHeight w:val="270"/>
          <w:jc w:val="center"/>
        </w:trPr>
        <w:tc>
          <w:tcPr>
            <w:tcW w:w="760" w:type="dxa"/>
            <w:shd w:val="clear" w:color="auto" w:fill="auto"/>
            <w:noWrap/>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szCs w:val="21"/>
              </w:rPr>
              <w:t>1</w:t>
            </w:r>
          </w:p>
        </w:tc>
        <w:tc>
          <w:tcPr>
            <w:tcW w:w="2410" w:type="dxa"/>
            <w:shd w:val="clear" w:color="auto" w:fill="auto"/>
            <w:noWrap/>
            <w:vAlign w:val="center"/>
          </w:tcPr>
          <w:p w:rsidR="00BE0A20" w:rsidRPr="001976DD" w:rsidRDefault="00BE0A20" w:rsidP="00EC4C61">
            <w:pPr>
              <w:jc w:val="center"/>
              <w:rPr>
                <w:rFonts w:asciiTheme="minorEastAsia" w:eastAsiaTheme="minorEastAsia" w:hAnsiTheme="minorEastAsia"/>
                <w:szCs w:val="21"/>
              </w:rPr>
            </w:pPr>
            <w:r w:rsidRPr="001976DD">
              <w:rPr>
                <w:rFonts w:asciiTheme="minorEastAsia" w:eastAsiaTheme="minorEastAsia" w:hAnsiTheme="minorEastAsia" w:hint="eastAsia"/>
                <w:szCs w:val="21"/>
              </w:rPr>
              <w:t>山东金融资产交易中心</w:t>
            </w:r>
          </w:p>
          <w:p w:rsidR="00BE0A20" w:rsidRPr="001976DD" w:rsidRDefault="00BE0A20" w:rsidP="00EC4C61">
            <w:pPr>
              <w:spacing w:line="276" w:lineRule="auto"/>
              <w:jc w:val="center"/>
              <w:rPr>
                <w:rFonts w:asciiTheme="minorEastAsia" w:eastAsiaTheme="minorEastAsia" w:hAnsiTheme="minorEastAsia"/>
                <w:szCs w:val="21"/>
              </w:rPr>
            </w:pPr>
            <w:r w:rsidRPr="001976DD">
              <w:rPr>
                <w:rFonts w:asciiTheme="minorEastAsia" w:eastAsiaTheme="minorEastAsia" w:hAnsiTheme="minorEastAsia" w:hint="eastAsia"/>
                <w:szCs w:val="21"/>
              </w:rPr>
              <w:t>有限公司理财产品</w:t>
            </w:r>
          </w:p>
        </w:tc>
        <w:tc>
          <w:tcPr>
            <w:tcW w:w="1134" w:type="dxa"/>
            <w:shd w:val="clear" w:color="auto" w:fill="auto"/>
            <w:noWrap/>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szCs w:val="21"/>
              </w:rPr>
              <w:t>39</w:t>
            </w:r>
            <w:r w:rsidRPr="001976DD">
              <w:rPr>
                <w:rFonts w:asciiTheme="minorEastAsia" w:eastAsiaTheme="minorEastAsia" w:hAnsiTheme="minorEastAsia" w:cs="宋体" w:hint="eastAsia"/>
                <w:szCs w:val="21"/>
              </w:rPr>
              <w:t>,</w:t>
            </w:r>
            <w:r w:rsidRPr="001976DD">
              <w:rPr>
                <w:rFonts w:asciiTheme="minorEastAsia" w:eastAsiaTheme="minorEastAsia" w:hAnsiTheme="minorEastAsia" w:cs="宋体"/>
                <w:szCs w:val="21"/>
              </w:rPr>
              <w:t>000</w:t>
            </w:r>
          </w:p>
        </w:tc>
        <w:tc>
          <w:tcPr>
            <w:tcW w:w="1134" w:type="dxa"/>
            <w:shd w:val="clear" w:color="auto" w:fill="auto"/>
            <w:noWrap/>
            <w:vAlign w:val="center"/>
          </w:tcPr>
          <w:p w:rsidR="00BE0A20" w:rsidRPr="001976DD" w:rsidRDefault="00BE0A20" w:rsidP="00EC4C61">
            <w:pPr>
              <w:autoSpaceDE w:val="0"/>
              <w:autoSpaceDN w:val="0"/>
              <w:adjustRightInd w:val="0"/>
              <w:spacing w:line="276" w:lineRule="auto"/>
              <w:jc w:val="right"/>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2</w:t>
            </w:r>
            <w:r w:rsidRPr="001976DD">
              <w:rPr>
                <w:rFonts w:asciiTheme="minorEastAsia" w:eastAsiaTheme="minorEastAsia" w:hAnsiTheme="minorEastAsia" w:cs="宋体"/>
                <w:szCs w:val="21"/>
              </w:rPr>
              <w:t>2</w:t>
            </w:r>
            <w:r w:rsidRPr="001976DD">
              <w:rPr>
                <w:rFonts w:asciiTheme="minorEastAsia" w:eastAsiaTheme="minorEastAsia" w:hAnsiTheme="minorEastAsia" w:cs="宋体" w:hint="eastAsia"/>
                <w:szCs w:val="21"/>
              </w:rPr>
              <w:t>,</w:t>
            </w:r>
            <w:r w:rsidRPr="001976DD">
              <w:rPr>
                <w:rFonts w:asciiTheme="minorEastAsia" w:eastAsiaTheme="minorEastAsia" w:hAnsiTheme="minorEastAsia" w:cs="宋体"/>
                <w:szCs w:val="21"/>
              </w:rPr>
              <w:t>000</w:t>
            </w:r>
          </w:p>
        </w:tc>
        <w:tc>
          <w:tcPr>
            <w:tcW w:w="1520" w:type="dxa"/>
            <w:shd w:val="clear" w:color="auto" w:fill="auto"/>
            <w:noWrap/>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szCs w:val="21"/>
              </w:rPr>
            </w:pPr>
            <w:r w:rsidRPr="001976DD">
              <w:rPr>
                <w:rFonts w:asciiTheme="minorEastAsia" w:eastAsiaTheme="minorEastAsia" w:hAnsiTheme="minorEastAsia" w:hint="eastAsia"/>
                <w:szCs w:val="21"/>
              </w:rPr>
              <w:t>1,</w:t>
            </w:r>
            <w:r w:rsidRPr="001976DD">
              <w:rPr>
                <w:rFonts w:asciiTheme="minorEastAsia" w:eastAsiaTheme="minorEastAsia" w:hAnsiTheme="minorEastAsia"/>
                <w:szCs w:val="21"/>
              </w:rPr>
              <w:t>388.50</w:t>
            </w:r>
          </w:p>
        </w:tc>
        <w:tc>
          <w:tcPr>
            <w:tcW w:w="1449" w:type="dxa"/>
            <w:vAlign w:val="center"/>
          </w:tcPr>
          <w:p w:rsidR="00BE0A20" w:rsidRPr="001976DD" w:rsidRDefault="00BE0A20" w:rsidP="00EC4C61">
            <w:pPr>
              <w:autoSpaceDE w:val="0"/>
              <w:autoSpaceDN w:val="0"/>
              <w:adjustRightInd w:val="0"/>
              <w:spacing w:line="276" w:lineRule="auto"/>
              <w:ind w:right="210"/>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1</w:t>
            </w:r>
            <w:r w:rsidRPr="001976DD">
              <w:rPr>
                <w:rFonts w:asciiTheme="minorEastAsia" w:eastAsiaTheme="minorEastAsia" w:hAnsiTheme="minorEastAsia" w:cs="宋体"/>
                <w:szCs w:val="21"/>
              </w:rPr>
              <w:t>7</w:t>
            </w:r>
            <w:r w:rsidRPr="001976DD">
              <w:rPr>
                <w:rFonts w:asciiTheme="minorEastAsia" w:eastAsiaTheme="minorEastAsia" w:hAnsiTheme="minorEastAsia" w:cs="宋体" w:hint="eastAsia"/>
                <w:szCs w:val="21"/>
              </w:rPr>
              <w:t>,</w:t>
            </w:r>
            <w:r w:rsidRPr="001976DD">
              <w:rPr>
                <w:rFonts w:asciiTheme="minorEastAsia" w:eastAsiaTheme="minorEastAsia" w:hAnsiTheme="minorEastAsia" w:cs="宋体"/>
                <w:szCs w:val="21"/>
              </w:rPr>
              <w:t>000</w:t>
            </w:r>
          </w:p>
        </w:tc>
      </w:tr>
      <w:tr w:rsidR="00BE0A20" w:rsidRPr="001976DD" w:rsidTr="00EC4C61">
        <w:trPr>
          <w:trHeight w:val="270"/>
          <w:jc w:val="center"/>
        </w:trPr>
        <w:tc>
          <w:tcPr>
            <w:tcW w:w="3170" w:type="dxa"/>
            <w:gridSpan w:val="2"/>
            <w:tcBorders>
              <w:bottom w:val="thinThickSmallGap" w:sz="24" w:space="0" w:color="auto"/>
            </w:tcBorders>
            <w:shd w:val="clear" w:color="auto" w:fill="auto"/>
            <w:noWrap/>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合计</w:t>
            </w:r>
          </w:p>
        </w:tc>
        <w:tc>
          <w:tcPr>
            <w:tcW w:w="1134" w:type="dxa"/>
            <w:tcBorders>
              <w:bottom w:val="thinThickSmallGap" w:sz="24" w:space="0" w:color="auto"/>
            </w:tcBorders>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szCs w:val="21"/>
              </w:rPr>
              <w:t>39</w:t>
            </w:r>
            <w:r w:rsidRPr="001976DD">
              <w:rPr>
                <w:rFonts w:asciiTheme="minorEastAsia" w:eastAsiaTheme="minorEastAsia" w:hAnsiTheme="minorEastAsia" w:cs="宋体" w:hint="eastAsia"/>
                <w:szCs w:val="21"/>
              </w:rPr>
              <w:t>,</w:t>
            </w:r>
            <w:r w:rsidRPr="001976DD">
              <w:rPr>
                <w:rFonts w:asciiTheme="minorEastAsia" w:eastAsiaTheme="minorEastAsia" w:hAnsiTheme="minorEastAsia" w:cs="宋体"/>
                <w:szCs w:val="21"/>
              </w:rPr>
              <w:t>000</w:t>
            </w:r>
          </w:p>
        </w:tc>
        <w:tc>
          <w:tcPr>
            <w:tcW w:w="1134" w:type="dxa"/>
            <w:tcBorders>
              <w:bottom w:val="thinThickSmallGap" w:sz="24" w:space="0" w:color="auto"/>
            </w:tcBorders>
            <w:shd w:val="clear" w:color="auto" w:fill="auto"/>
            <w:vAlign w:val="center"/>
          </w:tcPr>
          <w:p w:rsidR="00BE0A20" w:rsidRPr="001976DD" w:rsidRDefault="00BE0A20" w:rsidP="00EC4C61">
            <w:pPr>
              <w:autoSpaceDE w:val="0"/>
              <w:autoSpaceDN w:val="0"/>
              <w:adjustRightInd w:val="0"/>
              <w:spacing w:line="276" w:lineRule="auto"/>
              <w:jc w:val="right"/>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2</w:t>
            </w:r>
            <w:r w:rsidRPr="001976DD">
              <w:rPr>
                <w:rFonts w:asciiTheme="minorEastAsia" w:eastAsiaTheme="minorEastAsia" w:hAnsiTheme="minorEastAsia" w:cs="宋体"/>
                <w:szCs w:val="21"/>
              </w:rPr>
              <w:t>2</w:t>
            </w:r>
            <w:r w:rsidRPr="001976DD">
              <w:rPr>
                <w:rFonts w:asciiTheme="minorEastAsia" w:eastAsiaTheme="minorEastAsia" w:hAnsiTheme="minorEastAsia" w:cs="宋体" w:hint="eastAsia"/>
                <w:szCs w:val="21"/>
              </w:rPr>
              <w:t>,</w:t>
            </w:r>
            <w:r w:rsidRPr="001976DD">
              <w:rPr>
                <w:rFonts w:asciiTheme="minorEastAsia" w:eastAsiaTheme="minorEastAsia" w:hAnsiTheme="minorEastAsia" w:cs="宋体"/>
                <w:szCs w:val="21"/>
              </w:rPr>
              <w:t>000</w:t>
            </w:r>
          </w:p>
        </w:tc>
        <w:tc>
          <w:tcPr>
            <w:tcW w:w="1520" w:type="dxa"/>
            <w:tcBorders>
              <w:bottom w:val="thinThickSmallGap" w:sz="24" w:space="0" w:color="auto"/>
            </w:tcBorders>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szCs w:val="21"/>
              </w:rPr>
            </w:pPr>
            <w:r w:rsidRPr="001976DD">
              <w:rPr>
                <w:rFonts w:asciiTheme="minorEastAsia" w:eastAsiaTheme="minorEastAsia" w:hAnsiTheme="minorEastAsia" w:hint="eastAsia"/>
                <w:szCs w:val="21"/>
              </w:rPr>
              <w:t>1,</w:t>
            </w:r>
            <w:r w:rsidRPr="001976DD">
              <w:rPr>
                <w:rFonts w:asciiTheme="minorEastAsia" w:eastAsiaTheme="minorEastAsia" w:hAnsiTheme="minorEastAsia"/>
                <w:szCs w:val="21"/>
              </w:rPr>
              <w:t>388.50</w:t>
            </w:r>
          </w:p>
        </w:tc>
        <w:tc>
          <w:tcPr>
            <w:tcW w:w="1449" w:type="dxa"/>
            <w:tcBorders>
              <w:bottom w:val="thinThickSmallGap" w:sz="24" w:space="0" w:color="auto"/>
            </w:tcBorders>
            <w:vAlign w:val="center"/>
          </w:tcPr>
          <w:p w:rsidR="00BE0A20" w:rsidRPr="001976DD" w:rsidRDefault="00BE0A20" w:rsidP="00EC4C61">
            <w:pPr>
              <w:autoSpaceDE w:val="0"/>
              <w:autoSpaceDN w:val="0"/>
              <w:adjustRightInd w:val="0"/>
              <w:spacing w:line="276" w:lineRule="auto"/>
              <w:ind w:right="210"/>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1</w:t>
            </w:r>
            <w:r w:rsidRPr="001976DD">
              <w:rPr>
                <w:rFonts w:asciiTheme="minorEastAsia" w:eastAsiaTheme="minorEastAsia" w:hAnsiTheme="minorEastAsia" w:cs="宋体"/>
                <w:szCs w:val="21"/>
              </w:rPr>
              <w:t>7</w:t>
            </w:r>
            <w:r w:rsidRPr="001976DD">
              <w:rPr>
                <w:rFonts w:asciiTheme="minorEastAsia" w:eastAsiaTheme="minorEastAsia" w:hAnsiTheme="minorEastAsia" w:cs="宋体" w:hint="eastAsia"/>
                <w:szCs w:val="21"/>
              </w:rPr>
              <w:t>,</w:t>
            </w:r>
            <w:r w:rsidRPr="001976DD">
              <w:rPr>
                <w:rFonts w:asciiTheme="minorEastAsia" w:eastAsiaTheme="minorEastAsia" w:hAnsiTheme="minorEastAsia" w:cs="宋体"/>
                <w:szCs w:val="21"/>
              </w:rPr>
              <w:t>000</w:t>
            </w:r>
          </w:p>
        </w:tc>
      </w:tr>
      <w:tr w:rsidR="00BE0A20" w:rsidRPr="001976DD" w:rsidTr="00EC4C61">
        <w:trPr>
          <w:trHeight w:val="431"/>
          <w:jc w:val="center"/>
        </w:trPr>
        <w:tc>
          <w:tcPr>
            <w:tcW w:w="5438" w:type="dxa"/>
            <w:gridSpan w:val="4"/>
            <w:tcBorders>
              <w:top w:val="thinThickSmallGap" w:sz="24" w:space="0" w:color="auto"/>
              <w:bottom w:val="single" w:sz="4" w:space="0" w:color="auto"/>
            </w:tcBorders>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最近12个月内单日最高投入金额</w:t>
            </w:r>
          </w:p>
        </w:tc>
        <w:tc>
          <w:tcPr>
            <w:tcW w:w="2969" w:type="dxa"/>
            <w:gridSpan w:val="2"/>
            <w:tcBorders>
              <w:top w:val="thinThickSmallGap" w:sz="24" w:space="0" w:color="auto"/>
              <w:bottom w:val="single" w:sz="4" w:space="0" w:color="auto"/>
            </w:tcBorders>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szCs w:val="21"/>
              </w:rPr>
              <w:t>22</w:t>
            </w:r>
            <w:r w:rsidRPr="001976DD">
              <w:rPr>
                <w:rFonts w:asciiTheme="minorEastAsia" w:eastAsiaTheme="minorEastAsia" w:hAnsiTheme="minorEastAsia" w:cs="宋体" w:hint="eastAsia"/>
                <w:szCs w:val="21"/>
              </w:rPr>
              <w:t>,</w:t>
            </w:r>
            <w:r w:rsidRPr="001976DD">
              <w:rPr>
                <w:rFonts w:asciiTheme="minorEastAsia" w:eastAsiaTheme="minorEastAsia" w:hAnsiTheme="minorEastAsia" w:cs="宋体"/>
                <w:szCs w:val="21"/>
              </w:rPr>
              <w:t>000</w:t>
            </w:r>
          </w:p>
        </w:tc>
      </w:tr>
      <w:tr w:rsidR="00BE0A20" w:rsidRPr="001976DD" w:rsidTr="00EC4C61">
        <w:trPr>
          <w:trHeight w:val="502"/>
          <w:jc w:val="center"/>
        </w:trPr>
        <w:tc>
          <w:tcPr>
            <w:tcW w:w="5438" w:type="dxa"/>
            <w:gridSpan w:val="4"/>
            <w:tcBorders>
              <w:top w:val="single" w:sz="4" w:space="0" w:color="auto"/>
            </w:tcBorders>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 xml:space="preserve">最近12个月内单日最高投入金额/最近一年净资产（%）　</w:t>
            </w:r>
          </w:p>
        </w:tc>
        <w:tc>
          <w:tcPr>
            <w:tcW w:w="2969" w:type="dxa"/>
            <w:gridSpan w:val="2"/>
            <w:tcBorders>
              <w:top w:val="single" w:sz="4" w:space="0" w:color="auto"/>
            </w:tcBorders>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1</w:t>
            </w:r>
            <w:r w:rsidRPr="001976DD">
              <w:rPr>
                <w:rFonts w:asciiTheme="minorEastAsia" w:eastAsiaTheme="minorEastAsia" w:hAnsiTheme="minorEastAsia" w:cs="宋体"/>
                <w:szCs w:val="21"/>
              </w:rPr>
              <w:t>1.91</w:t>
            </w:r>
          </w:p>
        </w:tc>
      </w:tr>
      <w:tr w:rsidR="00BE0A20" w:rsidRPr="001976DD" w:rsidTr="00EC4C61">
        <w:trPr>
          <w:trHeight w:val="792"/>
          <w:jc w:val="center"/>
        </w:trPr>
        <w:tc>
          <w:tcPr>
            <w:tcW w:w="5438" w:type="dxa"/>
            <w:gridSpan w:val="4"/>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 xml:space="preserve">最近12个月现金管理累计收益/最近一年净利润（%）　</w:t>
            </w:r>
          </w:p>
        </w:tc>
        <w:tc>
          <w:tcPr>
            <w:tcW w:w="2969" w:type="dxa"/>
            <w:gridSpan w:val="2"/>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2</w:t>
            </w:r>
            <w:r w:rsidRPr="001976DD">
              <w:rPr>
                <w:rFonts w:asciiTheme="minorEastAsia" w:eastAsiaTheme="minorEastAsia" w:hAnsiTheme="minorEastAsia" w:cs="宋体"/>
                <w:szCs w:val="21"/>
              </w:rPr>
              <w:t>.74</w:t>
            </w:r>
          </w:p>
        </w:tc>
      </w:tr>
      <w:tr w:rsidR="00BE0A20" w:rsidRPr="001976DD" w:rsidTr="00EC4C61">
        <w:trPr>
          <w:trHeight w:val="270"/>
          <w:jc w:val="center"/>
        </w:trPr>
        <w:tc>
          <w:tcPr>
            <w:tcW w:w="5438" w:type="dxa"/>
            <w:gridSpan w:val="4"/>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目前已使用的现金管理额度</w:t>
            </w:r>
          </w:p>
        </w:tc>
        <w:tc>
          <w:tcPr>
            <w:tcW w:w="2969" w:type="dxa"/>
            <w:gridSpan w:val="2"/>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1</w:t>
            </w:r>
            <w:r w:rsidRPr="001976DD">
              <w:rPr>
                <w:rFonts w:asciiTheme="minorEastAsia" w:eastAsiaTheme="minorEastAsia" w:hAnsiTheme="minorEastAsia" w:cs="宋体"/>
                <w:szCs w:val="21"/>
              </w:rPr>
              <w:t>7</w:t>
            </w:r>
            <w:r w:rsidRPr="001976DD">
              <w:rPr>
                <w:rFonts w:asciiTheme="minorEastAsia" w:eastAsiaTheme="minorEastAsia" w:hAnsiTheme="minorEastAsia" w:cs="宋体" w:hint="eastAsia"/>
                <w:szCs w:val="21"/>
              </w:rPr>
              <w:t>,</w:t>
            </w:r>
            <w:r w:rsidRPr="001976DD">
              <w:rPr>
                <w:rFonts w:asciiTheme="minorEastAsia" w:eastAsiaTheme="minorEastAsia" w:hAnsiTheme="minorEastAsia" w:cs="宋体"/>
                <w:szCs w:val="21"/>
              </w:rPr>
              <w:t>000</w:t>
            </w:r>
          </w:p>
        </w:tc>
      </w:tr>
      <w:tr w:rsidR="00BE0A20" w:rsidRPr="001976DD" w:rsidTr="00EC4C61">
        <w:trPr>
          <w:trHeight w:val="270"/>
          <w:jc w:val="center"/>
        </w:trPr>
        <w:tc>
          <w:tcPr>
            <w:tcW w:w="5438" w:type="dxa"/>
            <w:gridSpan w:val="4"/>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lastRenderedPageBreak/>
              <w:t xml:space="preserve">尚未使用的现金管理额度　</w:t>
            </w:r>
          </w:p>
        </w:tc>
        <w:tc>
          <w:tcPr>
            <w:tcW w:w="2969" w:type="dxa"/>
            <w:gridSpan w:val="2"/>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1</w:t>
            </w:r>
            <w:r w:rsidRPr="001976DD">
              <w:rPr>
                <w:rFonts w:asciiTheme="minorEastAsia" w:eastAsiaTheme="minorEastAsia" w:hAnsiTheme="minorEastAsia" w:cs="宋体"/>
                <w:szCs w:val="21"/>
              </w:rPr>
              <w:t>5</w:t>
            </w:r>
            <w:r w:rsidRPr="001976DD">
              <w:rPr>
                <w:rFonts w:asciiTheme="minorEastAsia" w:eastAsiaTheme="minorEastAsia" w:hAnsiTheme="minorEastAsia" w:cs="宋体" w:hint="eastAsia"/>
                <w:szCs w:val="21"/>
              </w:rPr>
              <w:t>,</w:t>
            </w:r>
            <w:r w:rsidRPr="001976DD">
              <w:rPr>
                <w:rFonts w:asciiTheme="minorEastAsia" w:eastAsiaTheme="minorEastAsia" w:hAnsiTheme="minorEastAsia" w:cs="宋体"/>
                <w:szCs w:val="21"/>
              </w:rPr>
              <w:t>000</w:t>
            </w:r>
          </w:p>
        </w:tc>
      </w:tr>
      <w:tr w:rsidR="00BE0A20" w:rsidRPr="001976DD" w:rsidTr="00EC4C61">
        <w:trPr>
          <w:trHeight w:val="270"/>
          <w:jc w:val="center"/>
        </w:trPr>
        <w:tc>
          <w:tcPr>
            <w:tcW w:w="5438" w:type="dxa"/>
            <w:gridSpan w:val="4"/>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现金管理总额度</w:t>
            </w:r>
          </w:p>
        </w:tc>
        <w:tc>
          <w:tcPr>
            <w:tcW w:w="2969" w:type="dxa"/>
            <w:gridSpan w:val="2"/>
            <w:shd w:val="clear" w:color="auto" w:fill="auto"/>
            <w:vAlign w:val="center"/>
          </w:tcPr>
          <w:p w:rsidR="00BE0A20" w:rsidRPr="001976DD" w:rsidRDefault="00BE0A20" w:rsidP="00EC4C61">
            <w:pPr>
              <w:autoSpaceDE w:val="0"/>
              <w:autoSpaceDN w:val="0"/>
              <w:adjustRightInd w:val="0"/>
              <w:spacing w:line="276" w:lineRule="auto"/>
              <w:jc w:val="center"/>
              <w:rPr>
                <w:rFonts w:asciiTheme="minorEastAsia" w:eastAsiaTheme="minorEastAsia" w:hAnsiTheme="minorEastAsia" w:cs="宋体"/>
                <w:szCs w:val="21"/>
              </w:rPr>
            </w:pPr>
            <w:r w:rsidRPr="001976DD">
              <w:rPr>
                <w:rFonts w:asciiTheme="minorEastAsia" w:eastAsiaTheme="minorEastAsia" w:hAnsiTheme="minorEastAsia" w:cs="宋体" w:hint="eastAsia"/>
                <w:szCs w:val="21"/>
              </w:rPr>
              <w:t>3</w:t>
            </w:r>
            <w:r w:rsidRPr="001976DD">
              <w:rPr>
                <w:rFonts w:asciiTheme="minorEastAsia" w:eastAsiaTheme="minorEastAsia" w:hAnsiTheme="minorEastAsia" w:cs="宋体"/>
                <w:szCs w:val="21"/>
              </w:rPr>
              <w:t>2</w:t>
            </w:r>
            <w:r w:rsidRPr="001976DD">
              <w:rPr>
                <w:rFonts w:asciiTheme="minorEastAsia" w:eastAsiaTheme="minorEastAsia" w:hAnsiTheme="minorEastAsia" w:cs="宋体" w:hint="eastAsia"/>
                <w:szCs w:val="21"/>
              </w:rPr>
              <w:t>,</w:t>
            </w:r>
            <w:r w:rsidRPr="001976DD">
              <w:rPr>
                <w:rFonts w:asciiTheme="minorEastAsia" w:eastAsiaTheme="minorEastAsia" w:hAnsiTheme="minorEastAsia" w:cs="宋体"/>
                <w:szCs w:val="21"/>
              </w:rPr>
              <w:t>000</w:t>
            </w:r>
          </w:p>
        </w:tc>
      </w:tr>
    </w:tbl>
    <w:p w:rsidR="00BE0A20" w:rsidRDefault="00BE0A20" w:rsidP="00BE0A20">
      <w:pPr>
        <w:pStyle w:val="a5"/>
        <w:spacing w:line="360" w:lineRule="auto"/>
        <w:ind w:firstLineChars="200" w:firstLine="360"/>
        <w:rPr>
          <w:rFonts w:ascii="宋体" w:hAnsi="宋体"/>
          <w:sz w:val="18"/>
          <w:szCs w:val="18"/>
        </w:rPr>
      </w:pPr>
      <w:r>
        <w:rPr>
          <w:rFonts w:ascii="宋体" w:hAnsi="宋体" w:hint="eastAsia"/>
          <w:sz w:val="18"/>
          <w:szCs w:val="18"/>
        </w:rPr>
        <w:t>备注：“</w:t>
      </w:r>
      <w:r w:rsidRPr="006C187B">
        <w:rPr>
          <w:rFonts w:ascii="宋体" w:hAnsi="宋体" w:hint="eastAsia"/>
          <w:sz w:val="18"/>
          <w:szCs w:val="18"/>
        </w:rPr>
        <w:t>最近</w:t>
      </w:r>
      <w:r w:rsidRPr="006C187B">
        <w:rPr>
          <w:rFonts w:ascii="宋体" w:hAnsi="宋体"/>
          <w:sz w:val="18"/>
          <w:szCs w:val="18"/>
        </w:rPr>
        <w:t>12个月现金管理累计收益/最近一年净利润（%）</w:t>
      </w:r>
      <w:r>
        <w:rPr>
          <w:rFonts w:ascii="宋体" w:hAnsi="宋体" w:hint="eastAsia"/>
          <w:sz w:val="18"/>
          <w:szCs w:val="18"/>
        </w:rPr>
        <w:t>”取绝对值计算。</w:t>
      </w:r>
    </w:p>
    <w:p w:rsidR="001976DD" w:rsidRDefault="001976DD" w:rsidP="00BE0A20">
      <w:pPr>
        <w:spacing w:line="360" w:lineRule="auto"/>
        <w:ind w:firstLineChars="200" w:firstLine="480"/>
        <w:rPr>
          <w:rFonts w:ascii="宋体" w:hAnsi="宋体"/>
          <w:sz w:val="24"/>
        </w:rPr>
      </w:pPr>
    </w:p>
    <w:p w:rsidR="00BE0A20" w:rsidRDefault="00BE0A20" w:rsidP="00BE0A20">
      <w:pPr>
        <w:spacing w:line="360" w:lineRule="auto"/>
        <w:ind w:firstLineChars="200" w:firstLine="480"/>
        <w:rPr>
          <w:rFonts w:ascii="宋体" w:hAnsi="宋体"/>
          <w:sz w:val="24"/>
        </w:rPr>
      </w:pPr>
      <w:r>
        <w:rPr>
          <w:rFonts w:ascii="宋体" w:hAnsi="宋体"/>
          <w:sz w:val="24"/>
        </w:rPr>
        <w:t>特此公告</w:t>
      </w:r>
      <w:r>
        <w:rPr>
          <w:rFonts w:ascii="宋体" w:hAnsi="宋体" w:hint="eastAsia"/>
          <w:sz w:val="24"/>
        </w:rPr>
        <w:t>。</w:t>
      </w:r>
    </w:p>
    <w:p w:rsidR="001976DD" w:rsidRDefault="001976DD" w:rsidP="00BE0A20">
      <w:pPr>
        <w:spacing w:line="360" w:lineRule="auto"/>
        <w:ind w:firstLineChars="200" w:firstLine="480"/>
        <w:rPr>
          <w:rFonts w:ascii="宋体" w:hAnsi="宋体"/>
          <w:sz w:val="24"/>
        </w:rPr>
      </w:pPr>
    </w:p>
    <w:p w:rsidR="001976DD" w:rsidRDefault="001976DD" w:rsidP="00BE0A20">
      <w:pPr>
        <w:spacing w:line="360" w:lineRule="auto"/>
        <w:ind w:firstLineChars="200" w:firstLine="480"/>
        <w:rPr>
          <w:rFonts w:ascii="宋体" w:hAnsi="宋体"/>
          <w:sz w:val="24"/>
        </w:rPr>
      </w:pPr>
    </w:p>
    <w:p w:rsidR="00BE0A20" w:rsidRDefault="00BE0A20" w:rsidP="00BE0A20">
      <w:pPr>
        <w:spacing w:line="360" w:lineRule="auto"/>
        <w:ind w:firstLineChars="1800" w:firstLine="4320"/>
        <w:jc w:val="right"/>
        <w:rPr>
          <w:rFonts w:ascii="宋体" w:hAnsi="宋体"/>
          <w:sz w:val="24"/>
        </w:rPr>
      </w:pPr>
      <w:r>
        <w:rPr>
          <w:rFonts w:ascii="宋体" w:hAnsi="宋体" w:hint="eastAsia"/>
          <w:sz w:val="24"/>
        </w:rPr>
        <w:t>江苏吴中医药发展股份有限公司</w:t>
      </w:r>
    </w:p>
    <w:p w:rsidR="00BE0A20" w:rsidRDefault="00BE0A20" w:rsidP="00BE0A20">
      <w:pPr>
        <w:spacing w:line="360" w:lineRule="auto"/>
        <w:ind w:right="1200" w:firstLineChars="1800" w:firstLine="4320"/>
        <w:jc w:val="right"/>
        <w:rPr>
          <w:rFonts w:ascii="宋体" w:hAnsi="宋体"/>
          <w:sz w:val="24"/>
        </w:rPr>
      </w:pPr>
      <w:r>
        <w:rPr>
          <w:rFonts w:ascii="宋体" w:hAnsi="宋体" w:hint="eastAsia"/>
          <w:sz w:val="24"/>
        </w:rPr>
        <w:t xml:space="preserve">董事会      </w:t>
      </w:r>
    </w:p>
    <w:p w:rsidR="005712CB" w:rsidRPr="00BE0A20" w:rsidRDefault="00BE0A20" w:rsidP="00BE0A20">
      <w:pPr>
        <w:spacing w:line="360" w:lineRule="auto"/>
        <w:ind w:right="480" w:firstLineChars="2175" w:firstLine="5220"/>
        <w:jc w:val="center"/>
        <w:rPr>
          <w:rFonts w:ascii="宋体" w:hAnsi="宋体"/>
          <w:sz w:val="24"/>
        </w:rPr>
      </w:pPr>
      <w:r>
        <w:rPr>
          <w:rFonts w:ascii="宋体" w:hAnsi="宋体" w:hint="eastAsia"/>
          <w:sz w:val="24"/>
        </w:rPr>
        <w:t xml:space="preserve">    </w:t>
      </w:r>
      <w:r w:rsidRPr="00A3746E">
        <w:rPr>
          <w:rFonts w:ascii="宋体" w:hAnsi="宋体" w:hint="eastAsia"/>
          <w:sz w:val="24"/>
        </w:rPr>
        <w:t>20</w:t>
      </w:r>
      <w:r>
        <w:rPr>
          <w:rFonts w:ascii="宋体" w:hAnsi="宋体" w:hint="eastAsia"/>
          <w:sz w:val="24"/>
        </w:rPr>
        <w:t>21</w:t>
      </w:r>
      <w:r w:rsidRPr="00A3746E">
        <w:rPr>
          <w:rFonts w:ascii="宋体" w:hAnsi="宋体" w:hint="eastAsia"/>
          <w:sz w:val="24"/>
        </w:rPr>
        <w:t>年</w:t>
      </w:r>
      <w:r>
        <w:rPr>
          <w:rFonts w:ascii="宋体" w:hAnsi="宋体" w:hint="eastAsia"/>
          <w:sz w:val="24"/>
        </w:rPr>
        <w:t>10</w:t>
      </w:r>
      <w:r w:rsidRPr="00A3746E">
        <w:rPr>
          <w:rFonts w:ascii="宋体" w:hAnsi="宋体" w:hint="eastAsia"/>
          <w:sz w:val="24"/>
        </w:rPr>
        <w:t>月</w:t>
      </w:r>
      <w:r>
        <w:rPr>
          <w:rFonts w:ascii="宋体" w:hAnsi="宋体" w:hint="eastAsia"/>
          <w:sz w:val="24"/>
        </w:rPr>
        <w:t>29</w:t>
      </w:r>
      <w:r w:rsidRPr="00A3746E">
        <w:rPr>
          <w:rFonts w:ascii="宋体" w:hAnsi="宋体" w:hint="eastAsia"/>
          <w:sz w:val="24"/>
        </w:rPr>
        <w:t>日</w:t>
      </w:r>
    </w:p>
    <w:sectPr w:rsidR="005712CB" w:rsidRPr="00BE0A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1333" w:rsidRDefault="00551333" w:rsidP="00BE0A20">
      <w:r>
        <w:separator/>
      </w:r>
    </w:p>
  </w:endnote>
  <w:endnote w:type="continuationSeparator" w:id="0">
    <w:p w:rsidR="00551333" w:rsidRDefault="00551333" w:rsidP="00BE0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1333" w:rsidRDefault="00551333" w:rsidP="00BE0A20">
      <w:r>
        <w:separator/>
      </w:r>
    </w:p>
  </w:footnote>
  <w:footnote w:type="continuationSeparator" w:id="0">
    <w:p w:rsidR="00551333" w:rsidRDefault="00551333" w:rsidP="00BE0A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CD7E0F"/>
    <w:multiLevelType w:val="multilevel"/>
    <w:tmpl w:val="28CD7E0F"/>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3A59"/>
    <w:rsid w:val="00003634"/>
    <w:rsid w:val="000052DC"/>
    <w:rsid w:val="0001153F"/>
    <w:rsid w:val="00014AE5"/>
    <w:rsid w:val="00015559"/>
    <w:rsid w:val="0003171D"/>
    <w:rsid w:val="00034EAF"/>
    <w:rsid w:val="000377FA"/>
    <w:rsid w:val="00037B42"/>
    <w:rsid w:val="000514F9"/>
    <w:rsid w:val="00055DC4"/>
    <w:rsid w:val="00060AD4"/>
    <w:rsid w:val="0007113B"/>
    <w:rsid w:val="00077985"/>
    <w:rsid w:val="00084BC3"/>
    <w:rsid w:val="000C1EBF"/>
    <w:rsid w:val="000D5160"/>
    <w:rsid w:val="000D59A8"/>
    <w:rsid w:val="000E2525"/>
    <w:rsid w:val="000E5928"/>
    <w:rsid w:val="000E7F53"/>
    <w:rsid w:val="000F4B47"/>
    <w:rsid w:val="001044FC"/>
    <w:rsid w:val="00115DE0"/>
    <w:rsid w:val="00125BE8"/>
    <w:rsid w:val="00125EB5"/>
    <w:rsid w:val="001302DF"/>
    <w:rsid w:val="00141A30"/>
    <w:rsid w:val="0014235B"/>
    <w:rsid w:val="001449C0"/>
    <w:rsid w:val="00151157"/>
    <w:rsid w:val="00163205"/>
    <w:rsid w:val="00167B35"/>
    <w:rsid w:val="00173650"/>
    <w:rsid w:val="00173BB6"/>
    <w:rsid w:val="001741A0"/>
    <w:rsid w:val="00184711"/>
    <w:rsid w:val="00190F6C"/>
    <w:rsid w:val="00194544"/>
    <w:rsid w:val="001976DD"/>
    <w:rsid w:val="001A69DA"/>
    <w:rsid w:val="001A6F91"/>
    <w:rsid w:val="001C16DA"/>
    <w:rsid w:val="001D0721"/>
    <w:rsid w:val="001D198B"/>
    <w:rsid w:val="001E39C4"/>
    <w:rsid w:val="001E49FF"/>
    <w:rsid w:val="001E57CA"/>
    <w:rsid w:val="001F698F"/>
    <w:rsid w:val="00201E57"/>
    <w:rsid w:val="00203A59"/>
    <w:rsid w:val="00204DB0"/>
    <w:rsid w:val="002101B8"/>
    <w:rsid w:val="002127B8"/>
    <w:rsid w:val="00227A64"/>
    <w:rsid w:val="002343EA"/>
    <w:rsid w:val="002442A3"/>
    <w:rsid w:val="002473AD"/>
    <w:rsid w:val="00251C73"/>
    <w:rsid w:val="00256018"/>
    <w:rsid w:val="002561CC"/>
    <w:rsid w:val="0025726D"/>
    <w:rsid w:val="0025795B"/>
    <w:rsid w:val="00266464"/>
    <w:rsid w:val="00270486"/>
    <w:rsid w:val="0027220C"/>
    <w:rsid w:val="0027469E"/>
    <w:rsid w:val="002808AB"/>
    <w:rsid w:val="00283D37"/>
    <w:rsid w:val="00284CD2"/>
    <w:rsid w:val="00297F43"/>
    <w:rsid w:val="002A1B60"/>
    <w:rsid w:val="002B5713"/>
    <w:rsid w:val="002B7CCB"/>
    <w:rsid w:val="002C43B8"/>
    <w:rsid w:val="002C45E5"/>
    <w:rsid w:val="002C71E7"/>
    <w:rsid w:val="002D2369"/>
    <w:rsid w:val="002D4C8C"/>
    <w:rsid w:val="002F64AF"/>
    <w:rsid w:val="002F74DC"/>
    <w:rsid w:val="0030503B"/>
    <w:rsid w:val="00324EB8"/>
    <w:rsid w:val="003307ED"/>
    <w:rsid w:val="003334F6"/>
    <w:rsid w:val="003402E8"/>
    <w:rsid w:val="00342CB6"/>
    <w:rsid w:val="00353BA1"/>
    <w:rsid w:val="00360937"/>
    <w:rsid w:val="00363847"/>
    <w:rsid w:val="0036422B"/>
    <w:rsid w:val="003657D5"/>
    <w:rsid w:val="0037324C"/>
    <w:rsid w:val="00373349"/>
    <w:rsid w:val="0038210C"/>
    <w:rsid w:val="003870CC"/>
    <w:rsid w:val="003A1590"/>
    <w:rsid w:val="003B1D84"/>
    <w:rsid w:val="003B5345"/>
    <w:rsid w:val="003C607D"/>
    <w:rsid w:val="003D0C3B"/>
    <w:rsid w:val="003D3FFF"/>
    <w:rsid w:val="003D798A"/>
    <w:rsid w:val="003E2FD2"/>
    <w:rsid w:val="003E355B"/>
    <w:rsid w:val="003F5DA1"/>
    <w:rsid w:val="00410015"/>
    <w:rsid w:val="00417107"/>
    <w:rsid w:val="0041720E"/>
    <w:rsid w:val="0042410C"/>
    <w:rsid w:val="004374BE"/>
    <w:rsid w:val="0044127B"/>
    <w:rsid w:val="00444265"/>
    <w:rsid w:val="004502F4"/>
    <w:rsid w:val="004667F2"/>
    <w:rsid w:val="00475AC0"/>
    <w:rsid w:val="004958E0"/>
    <w:rsid w:val="00496E8A"/>
    <w:rsid w:val="004A41EF"/>
    <w:rsid w:val="004A44DF"/>
    <w:rsid w:val="004B70B1"/>
    <w:rsid w:val="004B7E3E"/>
    <w:rsid w:val="004C0C76"/>
    <w:rsid w:val="004C27B9"/>
    <w:rsid w:val="004C3A3E"/>
    <w:rsid w:val="004C3DB4"/>
    <w:rsid w:val="004D2BA0"/>
    <w:rsid w:val="004E363D"/>
    <w:rsid w:val="004F1ED6"/>
    <w:rsid w:val="004F1F15"/>
    <w:rsid w:val="004F65E5"/>
    <w:rsid w:val="005014D1"/>
    <w:rsid w:val="00517C61"/>
    <w:rsid w:val="005216F4"/>
    <w:rsid w:val="0054211F"/>
    <w:rsid w:val="00542DA0"/>
    <w:rsid w:val="0054311D"/>
    <w:rsid w:val="005477DA"/>
    <w:rsid w:val="00551333"/>
    <w:rsid w:val="005542A7"/>
    <w:rsid w:val="00555131"/>
    <w:rsid w:val="00557690"/>
    <w:rsid w:val="005712CB"/>
    <w:rsid w:val="00572AC7"/>
    <w:rsid w:val="00572D96"/>
    <w:rsid w:val="005737FA"/>
    <w:rsid w:val="00577CBB"/>
    <w:rsid w:val="00580E39"/>
    <w:rsid w:val="00591636"/>
    <w:rsid w:val="005B4F18"/>
    <w:rsid w:val="005C3668"/>
    <w:rsid w:val="005D417A"/>
    <w:rsid w:val="005D4ACB"/>
    <w:rsid w:val="005D5EDA"/>
    <w:rsid w:val="005E4AFF"/>
    <w:rsid w:val="005F0AEF"/>
    <w:rsid w:val="00606509"/>
    <w:rsid w:val="00615D49"/>
    <w:rsid w:val="0062719F"/>
    <w:rsid w:val="006412D7"/>
    <w:rsid w:val="006446F0"/>
    <w:rsid w:val="00645C77"/>
    <w:rsid w:val="00647683"/>
    <w:rsid w:val="00662769"/>
    <w:rsid w:val="00663516"/>
    <w:rsid w:val="0067327D"/>
    <w:rsid w:val="0067661A"/>
    <w:rsid w:val="00682D83"/>
    <w:rsid w:val="00683AED"/>
    <w:rsid w:val="0069424B"/>
    <w:rsid w:val="00695D72"/>
    <w:rsid w:val="006A1A8F"/>
    <w:rsid w:val="006A4EA1"/>
    <w:rsid w:val="006B29CA"/>
    <w:rsid w:val="006B2B65"/>
    <w:rsid w:val="006B7491"/>
    <w:rsid w:val="006C1D25"/>
    <w:rsid w:val="006E12CC"/>
    <w:rsid w:val="007001F0"/>
    <w:rsid w:val="007014FC"/>
    <w:rsid w:val="00712B2A"/>
    <w:rsid w:val="007230C3"/>
    <w:rsid w:val="0075060C"/>
    <w:rsid w:val="007564B5"/>
    <w:rsid w:val="0076676A"/>
    <w:rsid w:val="00766EEB"/>
    <w:rsid w:val="00772A33"/>
    <w:rsid w:val="007826E8"/>
    <w:rsid w:val="0078609E"/>
    <w:rsid w:val="007918EE"/>
    <w:rsid w:val="007A1575"/>
    <w:rsid w:val="007C0761"/>
    <w:rsid w:val="007C79A9"/>
    <w:rsid w:val="007C7BAF"/>
    <w:rsid w:val="007E3476"/>
    <w:rsid w:val="00802A0A"/>
    <w:rsid w:val="008051A9"/>
    <w:rsid w:val="008051F9"/>
    <w:rsid w:val="00811B04"/>
    <w:rsid w:val="00824AB0"/>
    <w:rsid w:val="008378DC"/>
    <w:rsid w:val="00837AFB"/>
    <w:rsid w:val="008412C9"/>
    <w:rsid w:val="00863DCE"/>
    <w:rsid w:val="00887DA0"/>
    <w:rsid w:val="00893296"/>
    <w:rsid w:val="008935D4"/>
    <w:rsid w:val="008A72B1"/>
    <w:rsid w:val="008B3703"/>
    <w:rsid w:val="008B3DD4"/>
    <w:rsid w:val="008B43ED"/>
    <w:rsid w:val="008B4735"/>
    <w:rsid w:val="008B5B30"/>
    <w:rsid w:val="008B6235"/>
    <w:rsid w:val="008C0E07"/>
    <w:rsid w:val="008E57CC"/>
    <w:rsid w:val="008F5155"/>
    <w:rsid w:val="008F6AB5"/>
    <w:rsid w:val="00933FA5"/>
    <w:rsid w:val="00934104"/>
    <w:rsid w:val="009440E4"/>
    <w:rsid w:val="0094672C"/>
    <w:rsid w:val="00955A3F"/>
    <w:rsid w:val="00960430"/>
    <w:rsid w:val="00967AA4"/>
    <w:rsid w:val="00972218"/>
    <w:rsid w:val="009841CB"/>
    <w:rsid w:val="00995DC5"/>
    <w:rsid w:val="009E1FA0"/>
    <w:rsid w:val="009E3014"/>
    <w:rsid w:val="009E66F9"/>
    <w:rsid w:val="009F0BB3"/>
    <w:rsid w:val="00A05A16"/>
    <w:rsid w:val="00A06832"/>
    <w:rsid w:val="00A1341B"/>
    <w:rsid w:val="00A13AC5"/>
    <w:rsid w:val="00A1423D"/>
    <w:rsid w:val="00A204FB"/>
    <w:rsid w:val="00A205C1"/>
    <w:rsid w:val="00A206E4"/>
    <w:rsid w:val="00A267F9"/>
    <w:rsid w:val="00A31603"/>
    <w:rsid w:val="00A34683"/>
    <w:rsid w:val="00A36051"/>
    <w:rsid w:val="00A37C3C"/>
    <w:rsid w:val="00A42891"/>
    <w:rsid w:val="00A51FF0"/>
    <w:rsid w:val="00A72475"/>
    <w:rsid w:val="00A842DF"/>
    <w:rsid w:val="00A950B9"/>
    <w:rsid w:val="00A973BC"/>
    <w:rsid w:val="00AA10D4"/>
    <w:rsid w:val="00AA706B"/>
    <w:rsid w:val="00AB0CFB"/>
    <w:rsid w:val="00AB15F8"/>
    <w:rsid w:val="00AB2664"/>
    <w:rsid w:val="00AB53AC"/>
    <w:rsid w:val="00AB6C97"/>
    <w:rsid w:val="00AC11D0"/>
    <w:rsid w:val="00AC7ABF"/>
    <w:rsid w:val="00AD0003"/>
    <w:rsid w:val="00AD7DEB"/>
    <w:rsid w:val="00AE30A2"/>
    <w:rsid w:val="00AF45BF"/>
    <w:rsid w:val="00AF476E"/>
    <w:rsid w:val="00B03668"/>
    <w:rsid w:val="00B07E79"/>
    <w:rsid w:val="00B17AF8"/>
    <w:rsid w:val="00B27494"/>
    <w:rsid w:val="00B31A8D"/>
    <w:rsid w:val="00B369BE"/>
    <w:rsid w:val="00B40795"/>
    <w:rsid w:val="00B40E4D"/>
    <w:rsid w:val="00B52013"/>
    <w:rsid w:val="00B57C2F"/>
    <w:rsid w:val="00B83882"/>
    <w:rsid w:val="00B83EF8"/>
    <w:rsid w:val="00B87AB6"/>
    <w:rsid w:val="00B929E0"/>
    <w:rsid w:val="00BA1EF6"/>
    <w:rsid w:val="00BA46C7"/>
    <w:rsid w:val="00BB5C59"/>
    <w:rsid w:val="00BB5E17"/>
    <w:rsid w:val="00BB5F62"/>
    <w:rsid w:val="00BC7D27"/>
    <w:rsid w:val="00BE0A0A"/>
    <w:rsid w:val="00BE0A20"/>
    <w:rsid w:val="00BE7989"/>
    <w:rsid w:val="00BF5380"/>
    <w:rsid w:val="00BF68F7"/>
    <w:rsid w:val="00C01D90"/>
    <w:rsid w:val="00C1036D"/>
    <w:rsid w:val="00C14435"/>
    <w:rsid w:val="00C209AA"/>
    <w:rsid w:val="00C20B2B"/>
    <w:rsid w:val="00C37A71"/>
    <w:rsid w:val="00C442D1"/>
    <w:rsid w:val="00C51C5F"/>
    <w:rsid w:val="00C62BAA"/>
    <w:rsid w:val="00C65924"/>
    <w:rsid w:val="00C66833"/>
    <w:rsid w:val="00C66A20"/>
    <w:rsid w:val="00C6792D"/>
    <w:rsid w:val="00C71DAA"/>
    <w:rsid w:val="00C745A9"/>
    <w:rsid w:val="00C770B6"/>
    <w:rsid w:val="00C77455"/>
    <w:rsid w:val="00C77936"/>
    <w:rsid w:val="00C77C63"/>
    <w:rsid w:val="00C8490D"/>
    <w:rsid w:val="00C84E9B"/>
    <w:rsid w:val="00C875F5"/>
    <w:rsid w:val="00CA1004"/>
    <w:rsid w:val="00CB2DCE"/>
    <w:rsid w:val="00CC65AD"/>
    <w:rsid w:val="00CC7C0B"/>
    <w:rsid w:val="00CD2A4D"/>
    <w:rsid w:val="00CD44DC"/>
    <w:rsid w:val="00CD5891"/>
    <w:rsid w:val="00CD607E"/>
    <w:rsid w:val="00CD6EAB"/>
    <w:rsid w:val="00CD7F62"/>
    <w:rsid w:val="00CE3B3D"/>
    <w:rsid w:val="00CE4D8A"/>
    <w:rsid w:val="00CF2676"/>
    <w:rsid w:val="00CF42BE"/>
    <w:rsid w:val="00CF5FA1"/>
    <w:rsid w:val="00CF7E7A"/>
    <w:rsid w:val="00D0156B"/>
    <w:rsid w:val="00D04CBB"/>
    <w:rsid w:val="00D05E2F"/>
    <w:rsid w:val="00D141A5"/>
    <w:rsid w:val="00D21B8D"/>
    <w:rsid w:val="00D24824"/>
    <w:rsid w:val="00D26D15"/>
    <w:rsid w:val="00D3212E"/>
    <w:rsid w:val="00D431AD"/>
    <w:rsid w:val="00D45281"/>
    <w:rsid w:val="00D53DC4"/>
    <w:rsid w:val="00D601FE"/>
    <w:rsid w:val="00D6753A"/>
    <w:rsid w:val="00D7040A"/>
    <w:rsid w:val="00D71559"/>
    <w:rsid w:val="00D73864"/>
    <w:rsid w:val="00D77523"/>
    <w:rsid w:val="00D819D3"/>
    <w:rsid w:val="00D86A2F"/>
    <w:rsid w:val="00D909E7"/>
    <w:rsid w:val="00D90BC6"/>
    <w:rsid w:val="00D92B06"/>
    <w:rsid w:val="00D9452A"/>
    <w:rsid w:val="00DC0757"/>
    <w:rsid w:val="00DC1510"/>
    <w:rsid w:val="00DD409A"/>
    <w:rsid w:val="00DE24B3"/>
    <w:rsid w:val="00DE3893"/>
    <w:rsid w:val="00DE4805"/>
    <w:rsid w:val="00DF08C9"/>
    <w:rsid w:val="00E003D0"/>
    <w:rsid w:val="00E025CD"/>
    <w:rsid w:val="00E05034"/>
    <w:rsid w:val="00E14AD6"/>
    <w:rsid w:val="00E220DE"/>
    <w:rsid w:val="00E26F68"/>
    <w:rsid w:val="00E30EA1"/>
    <w:rsid w:val="00E31233"/>
    <w:rsid w:val="00E373CB"/>
    <w:rsid w:val="00E4508D"/>
    <w:rsid w:val="00E56C3B"/>
    <w:rsid w:val="00E74755"/>
    <w:rsid w:val="00E74E4D"/>
    <w:rsid w:val="00E77D37"/>
    <w:rsid w:val="00E81D6C"/>
    <w:rsid w:val="00E90C0B"/>
    <w:rsid w:val="00E90EA3"/>
    <w:rsid w:val="00E915EA"/>
    <w:rsid w:val="00E9529E"/>
    <w:rsid w:val="00E96761"/>
    <w:rsid w:val="00E97E93"/>
    <w:rsid w:val="00EA6444"/>
    <w:rsid w:val="00EB0FB2"/>
    <w:rsid w:val="00EB5658"/>
    <w:rsid w:val="00EB7FBA"/>
    <w:rsid w:val="00ED4428"/>
    <w:rsid w:val="00ED6800"/>
    <w:rsid w:val="00EE1637"/>
    <w:rsid w:val="00EF67AA"/>
    <w:rsid w:val="00F03FA2"/>
    <w:rsid w:val="00F07A0E"/>
    <w:rsid w:val="00F11687"/>
    <w:rsid w:val="00F12677"/>
    <w:rsid w:val="00F13C59"/>
    <w:rsid w:val="00F161EE"/>
    <w:rsid w:val="00F168FB"/>
    <w:rsid w:val="00F21312"/>
    <w:rsid w:val="00F23D77"/>
    <w:rsid w:val="00F25681"/>
    <w:rsid w:val="00F3504C"/>
    <w:rsid w:val="00F41B3B"/>
    <w:rsid w:val="00F43502"/>
    <w:rsid w:val="00F642E6"/>
    <w:rsid w:val="00F75621"/>
    <w:rsid w:val="00F75B8D"/>
    <w:rsid w:val="00F7601B"/>
    <w:rsid w:val="00F84401"/>
    <w:rsid w:val="00F92A30"/>
    <w:rsid w:val="00FA5496"/>
    <w:rsid w:val="00FB3375"/>
    <w:rsid w:val="00FB56C5"/>
    <w:rsid w:val="00FB79DD"/>
    <w:rsid w:val="00FC49C6"/>
    <w:rsid w:val="00FD17D4"/>
    <w:rsid w:val="00FD212D"/>
    <w:rsid w:val="00FE4FBE"/>
    <w:rsid w:val="00FE57F0"/>
    <w:rsid w:val="00FE5ACA"/>
    <w:rsid w:val="00FF4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A2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0A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E0A20"/>
    <w:rPr>
      <w:sz w:val="18"/>
      <w:szCs w:val="18"/>
    </w:rPr>
  </w:style>
  <w:style w:type="paragraph" w:styleId="a4">
    <w:name w:val="footer"/>
    <w:basedOn w:val="a"/>
    <w:link w:val="Char0"/>
    <w:uiPriority w:val="99"/>
    <w:unhideWhenUsed/>
    <w:rsid w:val="00BE0A20"/>
    <w:pPr>
      <w:tabs>
        <w:tab w:val="center" w:pos="4153"/>
        <w:tab w:val="right" w:pos="8306"/>
      </w:tabs>
      <w:snapToGrid w:val="0"/>
      <w:jc w:val="left"/>
    </w:pPr>
    <w:rPr>
      <w:sz w:val="18"/>
      <w:szCs w:val="18"/>
    </w:rPr>
  </w:style>
  <w:style w:type="character" w:customStyle="1" w:styleId="Char0">
    <w:name w:val="页脚 Char"/>
    <w:basedOn w:val="a0"/>
    <w:link w:val="a4"/>
    <w:uiPriority w:val="99"/>
    <w:rsid w:val="00BE0A20"/>
    <w:rPr>
      <w:sz w:val="18"/>
      <w:szCs w:val="18"/>
    </w:rPr>
  </w:style>
  <w:style w:type="paragraph" w:customStyle="1" w:styleId="Default">
    <w:name w:val="Default"/>
    <w:rsid w:val="00BE0A20"/>
    <w:pPr>
      <w:widowControl w:val="0"/>
      <w:autoSpaceDE w:val="0"/>
      <w:autoSpaceDN w:val="0"/>
      <w:adjustRightInd w:val="0"/>
    </w:pPr>
    <w:rPr>
      <w:rFonts w:ascii="宋体" w:eastAsia="宋体" w:hAnsi="Times New Roman" w:cs="宋体"/>
      <w:color w:val="000000"/>
      <w:kern w:val="0"/>
      <w:sz w:val="24"/>
      <w:szCs w:val="24"/>
    </w:rPr>
  </w:style>
  <w:style w:type="paragraph" w:styleId="a5">
    <w:name w:val="Body Text"/>
    <w:basedOn w:val="a"/>
    <w:link w:val="Char1"/>
    <w:uiPriority w:val="99"/>
    <w:rsid w:val="00BE0A20"/>
    <w:pPr>
      <w:spacing w:after="120"/>
    </w:pPr>
    <w:rPr>
      <w:sz w:val="28"/>
      <w:szCs w:val="20"/>
    </w:rPr>
  </w:style>
  <w:style w:type="character" w:customStyle="1" w:styleId="Char1">
    <w:name w:val="正文文本 Char"/>
    <w:basedOn w:val="a0"/>
    <w:link w:val="a5"/>
    <w:uiPriority w:val="99"/>
    <w:rsid w:val="00BE0A20"/>
    <w:rPr>
      <w:rFonts w:ascii="Times New Roman" w:eastAsia="宋体"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A2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0A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E0A20"/>
    <w:rPr>
      <w:sz w:val="18"/>
      <w:szCs w:val="18"/>
    </w:rPr>
  </w:style>
  <w:style w:type="paragraph" w:styleId="a4">
    <w:name w:val="footer"/>
    <w:basedOn w:val="a"/>
    <w:link w:val="Char0"/>
    <w:uiPriority w:val="99"/>
    <w:unhideWhenUsed/>
    <w:rsid w:val="00BE0A20"/>
    <w:pPr>
      <w:tabs>
        <w:tab w:val="center" w:pos="4153"/>
        <w:tab w:val="right" w:pos="8306"/>
      </w:tabs>
      <w:snapToGrid w:val="0"/>
      <w:jc w:val="left"/>
    </w:pPr>
    <w:rPr>
      <w:sz w:val="18"/>
      <w:szCs w:val="18"/>
    </w:rPr>
  </w:style>
  <w:style w:type="character" w:customStyle="1" w:styleId="Char0">
    <w:name w:val="页脚 Char"/>
    <w:basedOn w:val="a0"/>
    <w:link w:val="a4"/>
    <w:uiPriority w:val="99"/>
    <w:rsid w:val="00BE0A20"/>
    <w:rPr>
      <w:sz w:val="18"/>
      <w:szCs w:val="18"/>
    </w:rPr>
  </w:style>
  <w:style w:type="paragraph" w:customStyle="1" w:styleId="Default">
    <w:name w:val="Default"/>
    <w:rsid w:val="00BE0A20"/>
    <w:pPr>
      <w:widowControl w:val="0"/>
      <w:autoSpaceDE w:val="0"/>
      <w:autoSpaceDN w:val="0"/>
      <w:adjustRightInd w:val="0"/>
    </w:pPr>
    <w:rPr>
      <w:rFonts w:ascii="宋体" w:eastAsia="宋体" w:hAnsi="Times New Roman" w:cs="宋体"/>
      <w:color w:val="000000"/>
      <w:kern w:val="0"/>
      <w:sz w:val="24"/>
      <w:szCs w:val="24"/>
    </w:rPr>
  </w:style>
  <w:style w:type="paragraph" w:styleId="a5">
    <w:name w:val="Body Text"/>
    <w:basedOn w:val="a"/>
    <w:link w:val="Char1"/>
    <w:uiPriority w:val="99"/>
    <w:rsid w:val="00BE0A20"/>
    <w:pPr>
      <w:spacing w:after="120"/>
    </w:pPr>
    <w:rPr>
      <w:sz w:val="28"/>
      <w:szCs w:val="20"/>
    </w:rPr>
  </w:style>
  <w:style w:type="character" w:customStyle="1" w:styleId="Char1">
    <w:name w:val="正文文本 Char"/>
    <w:basedOn w:val="a0"/>
    <w:link w:val="a5"/>
    <w:uiPriority w:val="99"/>
    <w:rsid w:val="00BE0A20"/>
    <w:rPr>
      <w:rFonts w:ascii="Times New Roman" w:eastAsia="宋体"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447</Words>
  <Characters>2551</Characters>
  <Application>Microsoft Office Word</Application>
  <DocSecurity>0</DocSecurity>
  <Lines>21</Lines>
  <Paragraphs>5</Paragraphs>
  <ScaleCrop>false</ScaleCrop>
  <Company/>
  <LinksUpToDate>false</LinksUpToDate>
  <CharactersWithSpaces>2993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李锐</dc:creator>
  <cp:keywords/>
  <dc:description/>
  <cp:lastModifiedBy>李锐</cp:lastModifiedBy>
  <cp:revision>6</cp:revision>
  <dcterms:created xsi:type="dcterms:W3CDTF">2021-10-26T00:52:00Z</dcterms:created>
  <dcterms:modified xsi:type="dcterms:W3CDTF">2021-10-27T08:11:00Z</dcterms:modified>
</cp:coreProperties>
</file>