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53" w:rightChars="-73"/>
        <w:jc w:val="center"/>
        <w:rPr>
          <w:rFonts w:ascii="黑体" w:hAnsi="宋体" w:eastAsia="黑体"/>
          <w:b/>
          <w:bCs/>
          <w:color w:val="FF0000"/>
          <w:sz w:val="32"/>
          <w:highlight w:val="none"/>
        </w:rPr>
      </w:pPr>
      <w:r>
        <w:rPr>
          <w:rFonts w:hint="eastAsia" w:ascii="宋体" w:hAnsi="宋体" w:cs="宋体"/>
          <w:color w:val="000000"/>
          <w:kern w:val="0"/>
          <w:sz w:val="24"/>
          <w:highlight w:val="none"/>
        </w:rPr>
        <w:t>证券代码：600200         证券简称：江苏吴中      公告编号：临2021-062</w:t>
      </w:r>
    </w:p>
    <w:p>
      <w:pPr>
        <w:spacing w:line="360" w:lineRule="auto"/>
        <w:ind w:right="-153" w:rightChars="-73"/>
        <w:jc w:val="center"/>
        <w:rPr>
          <w:rFonts w:ascii="黑体" w:hAnsi="宋体" w:eastAsia="黑体"/>
          <w:b/>
          <w:bCs/>
          <w:color w:val="FF0000"/>
          <w:sz w:val="32"/>
          <w:highlight w:val="none"/>
        </w:rPr>
      </w:pPr>
    </w:p>
    <w:p>
      <w:pPr>
        <w:spacing w:line="360" w:lineRule="auto"/>
        <w:ind w:right="-153" w:rightChars="-73"/>
        <w:jc w:val="center"/>
        <w:rPr>
          <w:rFonts w:ascii="黑体" w:hAnsi="宋体" w:eastAsia="黑体"/>
          <w:b/>
          <w:bCs/>
          <w:color w:val="FF0000"/>
          <w:sz w:val="32"/>
          <w:highlight w:val="none"/>
        </w:rPr>
      </w:pPr>
      <w:r>
        <w:rPr>
          <w:rFonts w:hint="eastAsia" w:ascii="黑体" w:hAnsi="宋体" w:eastAsia="黑体"/>
          <w:b/>
          <w:bCs/>
          <w:color w:val="FF0000"/>
          <w:sz w:val="32"/>
          <w:highlight w:val="none"/>
        </w:rPr>
        <w:t>江苏吴中医药发展股份有限公司</w:t>
      </w:r>
    </w:p>
    <w:p>
      <w:pPr>
        <w:spacing w:line="360" w:lineRule="auto"/>
        <w:ind w:right="-153" w:rightChars="-73"/>
        <w:jc w:val="center"/>
        <w:rPr>
          <w:rFonts w:hint="eastAsia" w:ascii="黑体" w:hAnsi="宋体" w:eastAsia="黑体"/>
          <w:b/>
          <w:bCs/>
          <w:color w:val="FF0000"/>
          <w:sz w:val="32"/>
          <w:highlight w:val="none"/>
        </w:rPr>
      </w:pPr>
      <w:r>
        <w:rPr>
          <w:rFonts w:hint="eastAsia" w:ascii="黑体" w:hAnsi="宋体" w:eastAsia="黑体"/>
          <w:b/>
          <w:bCs/>
          <w:color w:val="FF0000"/>
          <w:sz w:val="32"/>
          <w:highlight w:val="none"/>
        </w:rPr>
        <w:t>关于非公开发行股票后填补被摊薄即期回报措施</w:t>
      </w:r>
    </w:p>
    <w:p>
      <w:pPr>
        <w:spacing w:line="360" w:lineRule="auto"/>
        <w:ind w:right="-153" w:rightChars="-73"/>
        <w:jc w:val="center"/>
        <w:rPr>
          <w:rFonts w:ascii="黑体" w:hAnsi="宋体" w:eastAsia="黑体"/>
          <w:b/>
          <w:bCs/>
          <w:color w:val="FF0000"/>
          <w:sz w:val="32"/>
          <w:highlight w:val="none"/>
        </w:rPr>
      </w:pPr>
      <w:r>
        <w:rPr>
          <w:rFonts w:hint="eastAsia" w:ascii="黑体" w:hAnsi="宋体" w:eastAsia="黑体"/>
          <w:b/>
          <w:bCs/>
          <w:color w:val="FF0000"/>
          <w:sz w:val="32"/>
          <w:highlight w:val="none"/>
        </w:rPr>
        <w:t>及相关主体承诺的公告</w:t>
      </w:r>
      <w:bookmarkStart w:id="22" w:name="_GoBack"/>
      <w:bookmarkEnd w:id="22"/>
    </w:p>
    <w:p>
      <w:pPr>
        <w:autoSpaceDE w:val="0"/>
        <w:autoSpaceDN w:val="0"/>
        <w:adjustRightInd w:val="0"/>
        <w:spacing w:line="360" w:lineRule="auto"/>
        <w:ind w:firstLine="482" w:firstLineChars="200"/>
        <w:rPr>
          <w:rFonts w:hint="eastAsia" w:ascii="ˎ̥" w:hAnsi="ˎ̥"/>
          <w:b/>
          <w:sz w:val="24"/>
          <w:highlight w:val="none"/>
        </w:rPr>
      </w:pPr>
    </w:p>
    <w:p>
      <w:pPr>
        <w:autoSpaceDE w:val="0"/>
        <w:autoSpaceDN w:val="0"/>
        <w:adjustRightInd w:val="0"/>
        <w:spacing w:line="360" w:lineRule="auto"/>
        <w:ind w:firstLine="482" w:firstLineChars="200"/>
        <w:rPr>
          <w:rFonts w:hint="eastAsia" w:ascii="ˎ̥" w:hAnsi="ˎ̥"/>
          <w:b/>
          <w:sz w:val="24"/>
          <w:highlight w:val="none"/>
        </w:rPr>
      </w:pPr>
      <w:r>
        <w:rPr>
          <w:rFonts w:hint="eastAsia" w:ascii="ˎ̥" w:hAnsi="ˎ̥"/>
          <w:b/>
          <w:sz w:val="24"/>
          <w:highlight w:val="none"/>
        </w:rPr>
        <w:t>本公司董事会及董事会全体成员保证公告内容不存在虚假记载、误导性陈述或者重大遗漏，并对其内容的真实、准确和完整承担个别及连带责任。</w:t>
      </w:r>
    </w:p>
    <w:p>
      <w:pPr>
        <w:pStyle w:val="11"/>
        <w:spacing w:line="360" w:lineRule="auto"/>
        <w:rPr>
          <w:highlight w:val="none"/>
        </w:rPr>
      </w:pPr>
    </w:p>
    <w:p>
      <w:pPr>
        <w:pStyle w:val="4"/>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根据</w:t>
      </w:r>
      <w:r>
        <w:rPr>
          <w:rFonts w:hint="eastAsia" w:ascii="Times New Roman" w:hAnsi="Times New Roman" w:cs="Times New Roman"/>
          <w:highlight w:val="none"/>
          <w:lang w:eastAsia="zh-CN"/>
        </w:rPr>
        <w:t>《国务院办公厅关于进一步加强资本市场中小投资者合法权益保护工作的意见》（国办发[2013]110号）《国务院关于进一步促进资本市场健康发展的若干意见》（国发[2014]17号）和《关于首发及再融资、重大资产重组摊薄即期回报有关事项的指导意见》（证监会公告[2015]31号）和《公司章程》的相关规定</w:t>
      </w:r>
      <w:r>
        <w:rPr>
          <w:rFonts w:ascii="Times New Roman" w:hAnsi="Times New Roman" w:cs="Times New Roman"/>
          <w:highlight w:val="none"/>
          <w:lang w:eastAsia="zh-CN"/>
        </w:rPr>
        <w:t>，为保障中小投资者知情权，维护中小投资者利益，公司就本次非公开发行股票事项对主要财务指标和摊薄即期回报的影响及公司采取的填补回报措施说明如下：</w:t>
      </w:r>
    </w:p>
    <w:p>
      <w:pPr>
        <w:spacing w:before="156" w:beforeLines="50" w:line="360" w:lineRule="auto"/>
        <w:ind w:firstLine="562" w:firstLineChars="200"/>
        <w:outlineLvl w:val="1"/>
        <w:rPr>
          <w:b/>
          <w:sz w:val="28"/>
          <w:szCs w:val="21"/>
          <w:highlight w:val="none"/>
        </w:rPr>
      </w:pPr>
      <w:bookmarkStart w:id="0" w:name="_bookmark33"/>
      <w:bookmarkEnd w:id="0"/>
      <w:bookmarkStart w:id="1" w:name="_Toc6948"/>
      <w:r>
        <w:rPr>
          <w:b/>
          <w:sz w:val="28"/>
          <w:szCs w:val="21"/>
          <w:highlight w:val="none"/>
        </w:rPr>
        <w:t>一、本次非公开发行摊薄即期回报对公司主要财务指标的潜在影响</w:t>
      </w:r>
      <w:bookmarkEnd w:id="1"/>
    </w:p>
    <w:p>
      <w:pPr>
        <w:pStyle w:val="2"/>
        <w:shd w:val="clear" w:color="auto" w:fill="FFFFFF" w:themeFill="background1"/>
        <w:spacing w:before="156" w:beforeLines="50" w:line="360" w:lineRule="auto"/>
        <w:ind w:firstLine="482" w:firstLineChars="200"/>
        <w:jc w:val="both"/>
        <w:rPr>
          <w:rFonts w:ascii="Times New Roman" w:hAnsi="Times New Roman" w:cs="Times New Roman"/>
          <w:sz w:val="24"/>
          <w:szCs w:val="24"/>
          <w:highlight w:val="none"/>
          <w:lang w:eastAsia="zh-CN"/>
        </w:rPr>
      </w:pPr>
      <w:r>
        <w:rPr>
          <w:rFonts w:ascii="Times New Roman" w:hAnsi="Times New Roman" w:cs="Times New Roman"/>
          <w:sz w:val="24"/>
          <w:szCs w:val="24"/>
          <w:highlight w:val="none"/>
          <w:lang w:eastAsia="zh-CN"/>
        </w:rPr>
        <w:t>（一）假设前提</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1、假设本次非公开发行方案于2022年5月31日前实施完毕，该完成时间仅为估计，用于计算本次发行对摊薄即期回报的影响，最终以经</w:t>
      </w:r>
      <w:r>
        <w:rPr>
          <w:rFonts w:hint="eastAsia" w:ascii="Times New Roman" w:hAnsi="Times New Roman" w:cs="Times New Roman"/>
          <w:highlight w:val="none"/>
          <w:lang w:eastAsia="zh-CN"/>
        </w:rPr>
        <w:t>中国证监会核准或同意注册</w:t>
      </w:r>
      <w:r>
        <w:rPr>
          <w:rFonts w:ascii="Times New Roman" w:hAnsi="Times New Roman" w:cs="Times New Roman"/>
          <w:highlight w:val="none"/>
          <w:lang w:eastAsia="zh-CN"/>
        </w:rPr>
        <w:t>并实际发行完成时间为准。</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2、假设本次发行数量为</w:t>
      </w:r>
      <w:r>
        <w:rPr>
          <w:rFonts w:hint="eastAsia" w:ascii="Times New Roman" w:hAnsi="Times New Roman" w:cs="Times New Roman"/>
          <w:highlight w:val="none"/>
          <w:lang w:eastAsia="zh-CN"/>
        </w:rPr>
        <w:t>5,434.7826</w:t>
      </w:r>
      <w:r>
        <w:rPr>
          <w:rFonts w:ascii="Times New Roman" w:hAnsi="Times New Roman" w:cs="Times New Roman"/>
          <w:highlight w:val="none"/>
          <w:lang w:eastAsia="zh-CN"/>
        </w:rPr>
        <w:t>万股；募集资金总额为30,000</w:t>
      </w:r>
      <w:r>
        <w:rPr>
          <w:rFonts w:hint="eastAsia" w:ascii="Times New Roman" w:hAnsi="Times New Roman" w:cs="Times New Roman"/>
          <w:highlight w:val="none"/>
          <w:lang w:eastAsia="zh-CN"/>
        </w:rPr>
        <w:t>万元</w:t>
      </w:r>
      <w:r>
        <w:rPr>
          <w:rFonts w:ascii="Times New Roman" w:hAnsi="Times New Roman" w:cs="Times New Roman"/>
          <w:highlight w:val="none"/>
          <w:lang w:eastAsia="zh-CN"/>
        </w:rPr>
        <w:t>，最终发行数量及募集资金总额以经</w:t>
      </w:r>
      <w:r>
        <w:rPr>
          <w:rFonts w:hint="eastAsia" w:ascii="Times New Roman" w:hAnsi="Times New Roman" w:cs="Times New Roman"/>
          <w:highlight w:val="none"/>
          <w:lang w:eastAsia="zh-CN"/>
        </w:rPr>
        <w:t>中国证监会核准或同意注册</w:t>
      </w:r>
      <w:r>
        <w:rPr>
          <w:rFonts w:ascii="Times New Roman" w:hAnsi="Times New Roman" w:cs="Times New Roman"/>
          <w:highlight w:val="none"/>
          <w:lang w:eastAsia="zh-CN"/>
        </w:rPr>
        <w:t>的实际发行完成情况为准。</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3、假设公司总股本以截至本预案公告日公司总股本为基础，仅考虑本次非公开发行股份的影响，不考虑其他调整事项导致股本发生的变化。</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hint="eastAsia" w:ascii="Times New Roman" w:hAnsi="Times New Roman" w:cs="Times New Roman"/>
          <w:highlight w:val="none"/>
          <w:lang w:eastAsia="zh-CN"/>
        </w:rPr>
        <w:t>4</w:t>
      </w:r>
      <w:r>
        <w:rPr>
          <w:rFonts w:ascii="Times New Roman" w:hAnsi="Times New Roman" w:cs="Times New Roman"/>
          <w:highlight w:val="none"/>
          <w:lang w:eastAsia="zh-CN"/>
        </w:rPr>
        <w:t>、假设不考虑本次发行募集资金到账后，对公司生产经营、财务状况（如财务费用、募投项目产生效益）等的影响。</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hint="eastAsia" w:ascii="Times New Roman" w:hAnsi="Times New Roman" w:cs="Times New Roman"/>
          <w:highlight w:val="none"/>
          <w:lang w:eastAsia="zh-CN"/>
        </w:rPr>
        <w:t>5</w:t>
      </w:r>
      <w:r>
        <w:rPr>
          <w:rFonts w:ascii="Times New Roman" w:hAnsi="Times New Roman" w:cs="Times New Roman"/>
          <w:highlight w:val="none"/>
          <w:lang w:eastAsia="zh-CN"/>
        </w:rPr>
        <w:t>、假设不考虑其他非经常性损益、不可抗力因素对公司财务状况的影响。</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hint="eastAsia" w:ascii="Times New Roman" w:hAnsi="Times New Roman" w:cs="Times New Roman"/>
          <w:highlight w:val="none"/>
          <w:lang w:eastAsia="zh-CN"/>
        </w:rPr>
        <w:t>6</w:t>
      </w:r>
      <w:r>
        <w:rPr>
          <w:rFonts w:ascii="Times New Roman" w:hAnsi="Times New Roman" w:cs="Times New Roman"/>
          <w:highlight w:val="none"/>
          <w:lang w:eastAsia="zh-CN"/>
        </w:rPr>
        <w:t>、根据公司2021年第三季度报告，公司</w:t>
      </w:r>
      <w:r>
        <w:rPr>
          <w:rFonts w:hint="eastAsia" w:ascii="Times New Roman" w:hAnsi="Times New Roman" w:cs="Times New Roman"/>
          <w:highlight w:val="none"/>
          <w:lang w:eastAsia="zh-CN"/>
        </w:rPr>
        <w:t>2</w:t>
      </w:r>
      <w:r>
        <w:rPr>
          <w:rFonts w:ascii="Times New Roman" w:hAnsi="Times New Roman" w:cs="Times New Roman"/>
          <w:highlight w:val="none"/>
          <w:lang w:eastAsia="zh-CN"/>
        </w:rPr>
        <w:t>021</w:t>
      </w:r>
      <w:r>
        <w:rPr>
          <w:rFonts w:hint="eastAsia" w:ascii="Times New Roman" w:hAnsi="Times New Roman" w:cs="Times New Roman"/>
          <w:highlight w:val="none"/>
          <w:lang w:eastAsia="zh-CN"/>
        </w:rPr>
        <w:t>年1-</w:t>
      </w:r>
      <w:r>
        <w:rPr>
          <w:rFonts w:ascii="Times New Roman" w:hAnsi="Times New Roman" w:cs="Times New Roman"/>
          <w:highlight w:val="none"/>
          <w:lang w:eastAsia="zh-CN"/>
        </w:rPr>
        <w:t>9</w:t>
      </w:r>
      <w:r>
        <w:rPr>
          <w:rFonts w:hint="eastAsia" w:ascii="Times New Roman" w:hAnsi="Times New Roman" w:cs="Times New Roman"/>
          <w:highlight w:val="none"/>
          <w:lang w:eastAsia="zh-CN"/>
        </w:rPr>
        <w:t>月归属于上市公司股东的净利润</w:t>
      </w:r>
      <w:r>
        <w:rPr>
          <w:rFonts w:ascii="Times New Roman" w:hAnsi="Times New Roman" w:cs="Times New Roman"/>
          <w:highlight w:val="none"/>
          <w:lang w:eastAsia="zh-CN"/>
        </w:rPr>
        <w:t>4,938.87</w:t>
      </w:r>
      <w:r>
        <w:rPr>
          <w:rFonts w:hint="eastAsia" w:ascii="Times New Roman" w:hAnsi="Times New Roman" w:cs="Times New Roman"/>
          <w:highlight w:val="none"/>
          <w:lang w:eastAsia="zh-CN"/>
        </w:rPr>
        <w:t>万元，归属于上市公司股东的扣除非经常性损益的净利润</w:t>
      </w:r>
      <w:r>
        <w:rPr>
          <w:rFonts w:ascii="Times New Roman" w:hAnsi="Times New Roman" w:cs="Times New Roman"/>
          <w:highlight w:val="none"/>
          <w:lang w:eastAsia="zh-CN"/>
        </w:rPr>
        <w:t>-5,920.26</w:t>
      </w:r>
      <w:r>
        <w:rPr>
          <w:rFonts w:hint="eastAsia" w:ascii="Times New Roman" w:hAnsi="Times New Roman" w:cs="Times New Roman"/>
          <w:highlight w:val="none"/>
          <w:lang w:eastAsia="zh-CN"/>
        </w:rPr>
        <w:t>万元。</w:t>
      </w:r>
      <w:r>
        <w:rPr>
          <w:rFonts w:ascii="Times New Roman" w:hAnsi="Times New Roman" w:cs="Times New Roman"/>
          <w:highlight w:val="none"/>
          <w:lang w:eastAsia="zh-CN"/>
        </w:rPr>
        <w:t>假设公司2021</w:t>
      </w:r>
      <w:r>
        <w:rPr>
          <w:rFonts w:hint="eastAsia" w:ascii="Times New Roman" w:hAnsi="Times New Roman" w:cs="Times New Roman"/>
          <w:highlight w:val="none"/>
          <w:lang w:eastAsia="zh-CN"/>
        </w:rPr>
        <w:t>年度</w:t>
      </w:r>
      <w:r>
        <w:rPr>
          <w:rFonts w:ascii="Times New Roman" w:hAnsi="Times New Roman" w:cs="Times New Roman"/>
          <w:highlight w:val="none"/>
          <w:lang w:eastAsia="zh-CN"/>
        </w:rPr>
        <w:t>实现的</w:t>
      </w:r>
      <w:r>
        <w:rPr>
          <w:rFonts w:hint="eastAsia" w:ascii="Times New Roman" w:hAnsi="Times New Roman" w:cs="Times New Roman"/>
          <w:highlight w:val="none"/>
          <w:lang w:eastAsia="zh-CN"/>
        </w:rPr>
        <w:t>归属于上市公司股东的净利润</w:t>
      </w:r>
      <w:r>
        <w:rPr>
          <w:rFonts w:ascii="Times New Roman" w:hAnsi="Times New Roman" w:cs="Times New Roman"/>
          <w:highlight w:val="none"/>
          <w:lang w:eastAsia="zh-CN"/>
        </w:rPr>
        <w:t>和</w:t>
      </w:r>
      <w:r>
        <w:rPr>
          <w:rFonts w:hint="eastAsia" w:ascii="Times New Roman" w:hAnsi="Times New Roman" w:cs="Times New Roman"/>
          <w:highlight w:val="none"/>
          <w:lang w:eastAsia="zh-CN"/>
        </w:rPr>
        <w:t>归属于上市公司股东的扣除非经常性损益的净利润</w:t>
      </w:r>
      <w:r>
        <w:rPr>
          <w:rFonts w:ascii="Times New Roman" w:hAnsi="Times New Roman" w:cs="Times New Roman"/>
          <w:highlight w:val="none"/>
          <w:lang w:eastAsia="zh-CN"/>
        </w:rPr>
        <w:t>与</w:t>
      </w:r>
      <w:r>
        <w:rPr>
          <w:rFonts w:hint="eastAsia" w:ascii="Times New Roman" w:hAnsi="Times New Roman" w:cs="Times New Roman"/>
          <w:highlight w:val="none"/>
          <w:lang w:eastAsia="zh-CN"/>
        </w:rPr>
        <w:t>2</w:t>
      </w:r>
      <w:r>
        <w:rPr>
          <w:rFonts w:ascii="Times New Roman" w:hAnsi="Times New Roman" w:cs="Times New Roman"/>
          <w:highlight w:val="none"/>
          <w:lang w:eastAsia="zh-CN"/>
        </w:rPr>
        <w:t>021</w:t>
      </w:r>
      <w:r>
        <w:rPr>
          <w:rFonts w:hint="eastAsia" w:ascii="Times New Roman" w:hAnsi="Times New Roman" w:cs="Times New Roman"/>
          <w:highlight w:val="none"/>
          <w:lang w:eastAsia="zh-CN"/>
        </w:rPr>
        <w:t>年1-</w:t>
      </w:r>
      <w:r>
        <w:rPr>
          <w:rFonts w:ascii="Times New Roman" w:hAnsi="Times New Roman" w:cs="Times New Roman"/>
          <w:highlight w:val="none"/>
          <w:lang w:eastAsia="zh-CN"/>
        </w:rPr>
        <w:t>9</w:t>
      </w:r>
      <w:r>
        <w:rPr>
          <w:rFonts w:hint="eastAsia" w:ascii="Times New Roman" w:hAnsi="Times New Roman" w:cs="Times New Roman"/>
          <w:highlight w:val="none"/>
          <w:lang w:eastAsia="zh-CN"/>
        </w:rPr>
        <w:t>月</w:t>
      </w:r>
      <w:r>
        <w:rPr>
          <w:rFonts w:ascii="Times New Roman" w:hAnsi="Times New Roman" w:cs="Times New Roman"/>
          <w:highlight w:val="none"/>
          <w:lang w:eastAsia="zh-CN"/>
        </w:rPr>
        <w:t>数据持平。</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假设2022年</w:t>
      </w:r>
      <w:r>
        <w:rPr>
          <w:rFonts w:hint="eastAsia" w:ascii="Times New Roman" w:hAnsi="Times New Roman" w:cs="Times New Roman"/>
          <w:highlight w:val="none"/>
          <w:lang w:eastAsia="zh-CN"/>
        </w:rPr>
        <w:t>归属于上市公司股东的扣除非经常性损益的净利润</w:t>
      </w:r>
      <w:r>
        <w:rPr>
          <w:rFonts w:ascii="Times New Roman" w:hAnsi="Times New Roman" w:cs="Times New Roman"/>
          <w:highlight w:val="none"/>
          <w:lang w:eastAsia="zh-CN"/>
        </w:rPr>
        <w:t>分别按照三种情形测算：（1）与2021年度持平；（2）</w:t>
      </w:r>
      <w:r>
        <w:rPr>
          <w:rFonts w:hint="eastAsia" w:ascii="Times New Roman" w:hAnsi="Times New Roman" w:cs="Times New Roman"/>
          <w:highlight w:val="none"/>
          <w:lang w:eastAsia="zh-CN"/>
        </w:rPr>
        <w:t>为0</w:t>
      </w:r>
      <w:r>
        <w:rPr>
          <w:rFonts w:ascii="Times New Roman" w:hAnsi="Times New Roman" w:cs="Times New Roman"/>
          <w:highlight w:val="none"/>
          <w:lang w:eastAsia="zh-CN"/>
        </w:rPr>
        <w:t>；（3）较2021年度</w:t>
      </w:r>
      <w:r>
        <w:rPr>
          <w:rFonts w:hint="eastAsia" w:ascii="Times New Roman" w:hAnsi="Times New Roman" w:cs="Times New Roman"/>
          <w:highlight w:val="none"/>
          <w:lang w:eastAsia="zh-CN"/>
        </w:rPr>
        <w:t>下降</w:t>
      </w:r>
      <w:r>
        <w:rPr>
          <w:rFonts w:ascii="Times New Roman" w:hAnsi="Times New Roman" w:cs="Times New Roman"/>
          <w:highlight w:val="none"/>
          <w:lang w:eastAsia="zh-CN"/>
        </w:rPr>
        <w:t>10%。该假设仅用于计算本次非公开发行股票摊薄即期回报对主要财务指标的影响，并不代表公司对2021年</w:t>
      </w:r>
      <w:r>
        <w:rPr>
          <w:rFonts w:hint="eastAsia" w:ascii="Times New Roman" w:hAnsi="Times New Roman" w:cs="Times New Roman"/>
          <w:highlight w:val="none"/>
          <w:lang w:eastAsia="zh-CN"/>
        </w:rPr>
        <w:t>、2</w:t>
      </w:r>
      <w:r>
        <w:rPr>
          <w:rFonts w:ascii="Times New Roman" w:hAnsi="Times New Roman" w:cs="Times New Roman"/>
          <w:highlight w:val="none"/>
          <w:lang w:eastAsia="zh-CN"/>
        </w:rPr>
        <w:t>022</w:t>
      </w:r>
      <w:r>
        <w:rPr>
          <w:rFonts w:hint="eastAsia" w:ascii="Times New Roman" w:hAnsi="Times New Roman" w:cs="Times New Roman"/>
          <w:highlight w:val="none"/>
          <w:lang w:eastAsia="zh-CN"/>
        </w:rPr>
        <w:t>年</w:t>
      </w:r>
      <w:r>
        <w:rPr>
          <w:rFonts w:ascii="Times New Roman" w:hAnsi="Times New Roman" w:cs="Times New Roman"/>
          <w:highlight w:val="none"/>
          <w:lang w:eastAsia="zh-CN"/>
        </w:rPr>
        <w:t>经营情况及趋势的判断，亦不构成公司盈利预测。</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7、假设宏观经济环境、产业政策、行业发展状况、产品市场情况等方面没有发生重大不利变化。</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以上仅为基于测算目的假设，不构成承诺及盈利预测和业绩承诺，投资者不应据此假设进行投资决策，投资者据此进行投资决策造成损失的，公司不承担赔偿责任。</w:t>
      </w:r>
    </w:p>
    <w:p>
      <w:pPr>
        <w:pStyle w:val="2"/>
        <w:shd w:val="clear" w:color="auto" w:fill="FFFFFF" w:themeFill="background1"/>
        <w:spacing w:before="156" w:beforeLines="50" w:line="360" w:lineRule="auto"/>
        <w:ind w:firstLine="482" w:firstLineChars="200"/>
        <w:jc w:val="both"/>
        <w:rPr>
          <w:rFonts w:ascii="Times New Roman" w:hAnsi="Times New Roman" w:cs="Times New Roman"/>
          <w:sz w:val="24"/>
          <w:szCs w:val="24"/>
          <w:highlight w:val="none"/>
          <w:lang w:eastAsia="zh-CN"/>
        </w:rPr>
      </w:pPr>
      <w:r>
        <w:rPr>
          <w:rFonts w:ascii="Times New Roman" w:hAnsi="Times New Roman" w:cs="Times New Roman"/>
          <w:sz w:val="24"/>
          <w:szCs w:val="24"/>
          <w:highlight w:val="none"/>
          <w:lang w:eastAsia="zh-CN"/>
        </w:rPr>
        <w:t>（二）测算过程</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基于上述假设前提，本次发行摊薄即期回报对公司主要财务指标的影响测算如下：</w:t>
      </w:r>
    </w:p>
    <w:tbl>
      <w:tblPr>
        <w:tblStyle w:val="7"/>
        <w:tblW w:w="8673"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4361"/>
        <w:gridCol w:w="1530"/>
        <w:gridCol w:w="1374"/>
        <w:gridCol w:w="140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vMerge w:val="restart"/>
            <w:tcBorders>
              <w:tl2br w:val="nil"/>
              <w:tr2bl w:val="nil"/>
            </w:tcBorders>
            <w:shd w:val="clear" w:color="auto" w:fill="auto"/>
            <w:tcMar>
              <w:top w:w="8" w:type="dxa"/>
              <w:left w:w="8" w:type="dxa"/>
              <w:right w:w="8" w:type="dxa"/>
            </w:tcMar>
            <w:vAlign w:val="center"/>
          </w:tcPr>
          <w:p>
            <w:pPr>
              <w:widowControl/>
              <w:shd w:val="clear" w:color="auto" w:fill="FFFFFF" w:themeFill="background1"/>
              <w:jc w:val="center"/>
              <w:textAlignment w:val="center"/>
              <w:rPr>
                <w:b/>
                <w:color w:val="000000"/>
                <w:szCs w:val="21"/>
                <w:highlight w:val="none"/>
              </w:rPr>
            </w:pPr>
            <w:r>
              <w:rPr>
                <w:b/>
                <w:color w:val="000000"/>
                <w:szCs w:val="21"/>
                <w:highlight w:val="none"/>
                <w:lang w:bidi="ar"/>
              </w:rPr>
              <w:t>项目</w:t>
            </w:r>
          </w:p>
        </w:tc>
        <w:tc>
          <w:tcPr>
            <w:tcW w:w="1530" w:type="dxa"/>
            <w:vMerge w:val="restart"/>
            <w:tcBorders>
              <w:tl2br w:val="nil"/>
              <w:tr2bl w:val="nil"/>
            </w:tcBorders>
            <w:shd w:val="clear" w:color="auto" w:fill="auto"/>
            <w:tcMar>
              <w:top w:w="8" w:type="dxa"/>
              <w:left w:w="8" w:type="dxa"/>
              <w:right w:w="8" w:type="dxa"/>
            </w:tcMar>
            <w:vAlign w:val="center"/>
          </w:tcPr>
          <w:p>
            <w:pPr>
              <w:widowControl/>
              <w:shd w:val="clear" w:color="auto" w:fill="FFFFFF" w:themeFill="background1"/>
              <w:jc w:val="center"/>
              <w:textAlignment w:val="center"/>
              <w:rPr>
                <w:b/>
                <w:color w:val="000000"/>
                <w:szCs w:val="21"/>
                <w:highlight w:val="none"/>
              </w:rPr>
            </w:pPr>
            <w:r>
              <w:rPr>
                <w:b/>
                <w:color w:val="000000"/>
                <w:szCs w:val="21"/>
                <w:highlight w:val="none"/>
                <w:lang w:bidi="ar"/>
              </w:rPr>
              <w:t>2021</w:t>
            </w:r>
            <w:r>
              <w:rPr>
                <w:rStyle w:val="14"/>
                <w:rFonts w:hint="default"/>
                <w:sz w:val="21"/>
                <w:szCs w:val="21"/>
                <w:highlight w:val="none"/>
                <w:lang w:bidi="ar"/>
              </w:rPr>
              <w:t>年度</w:t>
            </w:r>
            <w:r>
              <w:rPr>
                <w:rStyle w:val="15"/>
                <w:szCs w:val="21"/>
                <w:highlight w:val="none"/>
                <w:lang w:bidi="ar"/>
              </w:rPr>
              <w:t>/2021</w:t>
            </w:r>
            <w:r>
              <w:rPr>
                <w:rStyle w:val="14"/>
                <w:rFonts w:hint="default"/>
                <w:sz w:val="21"/>
                <w:szCs w:val="21"/>
                <w:highlight w:val="none"/>
                <w:lang w:bidi="ar"/>
              </w:rPr>
              <w:t>年末</w:t>
            </w:r>
          </w:p>
        </w:tc>
        <w:tc>
          <w:tcPr>
            <w:tcW w:w="2782" w:type="dxa"/>
            <w:gridSpan w:val="2"/>
            <w:vMerge w:val="restart"/>
            <w:tcBorders>
              <w:tl2br w:val="nil"/>
              <w:tr2bl w:val="nil"/>
            </w:tcBorders>
            <w:shd w:val="clear" w:color="auto" w:fill="auto"/>
            <w:tcMar>
              <w:top w:w="8" w:type="dxa"/>
              <w:left w:w="8" w:type="dxa"/>
              <w:right w:w="8" w:type="dxa"/>
            </w:tcMar>
            <w:vAlign w:val="center"/>
          </w:tcPr>
          <w:p>
            <w:pPr>
              <w:widowControl/>
              <w:shd w:val="clear" w:color="auto" w:fill="FFFFFF" w:themeFill="background1"/>
              <w:jc w:val="center"/>
              <w:textAlignment w:val="center"/>
              <w:rPr>
                <w:b/>
                <w:color w:val="000000"/>
                <w:szCs w:val="21"/>
                <w:highlight w:val="none"/>
              </w:rPr>
            </w:pPr>
            <w:r>
              <w:rPr>
                <w:b/>
                <w:color w:val="000000"/>
                <w:szCs w:val="21"/>
                <w:highlight w:val="none"/>
                <w:lang w:bidi="ar"/>
              </w:rPr>
              <w:t>2022</w:t>
            </w:r>
            <w:r>
              <w:rPr>
                <w:rStyle w:val="14"/>
                <w:rFonts w:hint="default"/>
                <w:sz w:val="21"/>
                <w:szCs w:val="21"/>
                <w:highlight w:val="none"/>
                <w:lang w:bidi="ar"/>
              </w:rPr>
              <w:t>年度</w:t>
            </w:r>
            <w:r>
              <w:rPr>
                <w:rStyle w:val="15"/>
                <w:szCs w:val="21"/>
                <w:highlight w:val="none"/>
                <w:lang w:bidi="ar"/>
              </w:rPr>
              <w:t>/2022</w:t>
            </w:r>
            <w:r>
              <w:rPr>
                <w:rStyle w:val="14"/>
                <w:rFonts w:hint="default"/>
                <w:sz w:val="21"/>
                <w:szCs w:val="21"/>
                <w:highlight w:val="none"/>
                <w:lang w:bidi="ar"/>
              </w:rPr>
              <w:t>年末</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361" w:type="dxa"/>
            <w:vMerge w:val="continue"/>
            <w:tcBorders>
              <w:tl2br w:val="nil"/>
              <w:tr2bl w:val="nil"/>
            </w:tcBorders>
            <w:shd w:val="clear" w:color="auto" w:fill="auto"/>
            <w:tcMar>
              <w:top w:w="8" w:type="dxa"/>
              <w:left w:w="8" w:type="dxa"/>
              <w:right w:w="8" w:type="dxa"/>
            </w:tcMar>
            <w:vAlign w:val="center"/>
          </w:tcPr>
          <w:p>
            <w:pPr>
              <w:shd w:val="clear" w:color="auto" w:fill="FFFFFF" w:themeFill="background1"/>
              <w:jc w:val="center"/>
              <w:rPr>
                <w:b/>
                <w:color w:val="000000"/>
                <w:szCs w:val="21"/>
                <w:highlight w:val="none"/>
              </w:rPr>
            </w:pPr>
          </w:p>
        </w:tc>
        <w:tc>
          <w:tcPr>
            <w:tcW w:w="1530" w:type="dxa"/>
            <w:vMerge w:val="continue"/>
            <w:tcBorders>
              <w:tl2br w:val="nil"/>
              <w:tr2bl w:val="nil"/>
            </w:tcBorders>
            <w:shd w:val="clear" w:color="auto" w:fill="auto"/>
            <w:tcMar>
              <w:top w:w="8" w:type="dxa"/>
              <w:left w:w="8" w:type="dxa"/>
              <w:right w:w="8" w:type="dxa"/>
            </w:tcMar>
            <w:vAlign w:val="center"/>
          </w:tcPr>
          <w:p>
            <w:pPr>
              <w:shd w:val="clear" w:color="auto" w:fill="FFFFFF" w:themeFill="background1"/>
              <w:jc w:val="center"/>
              <w:rPr>
                <w:b/>
                <w:color w:val="000000"/>
                <w:szCs w:val="21"/>
                <w:highlight w:val="none"/>
              </w:rPr>
            </w:pPr>
          </w:p>
        </w:tc>
        <w:tc>
          <w:tcPr>
            <w:tcW w:w="2782" w:type="dxa"/>
            <w:gridSpan w:val="2"/>
            <w:vMerge w:val="continue"/>
            <w:tcBorders>
              <w:tl2br w:val="nil"/>
              <w:tr2bl w:val="nil"/>
            </w:tcBorders>
            <w:shd w:val="clear" w:color="auto" w:fill="auto"/>
            <w:tcMar>
              <w:top w:w="8" w:type="dxa"/>
              <w:left w:w="8" w:type="dxa"/>
              <w:right w:w="8" w:type="dxa"/>
            </w:tcMar>
            <w:vAlign w:val="center"/>
          </w:tcPr>
          <w:p>
            <w:pPr>
              <w:shd w:val="clear" w:color="auto" w:fill="FFFFFF" w:themeFill="background1"/>
              <w:jc w:val="center"/>
              <w:rPr>
                <w:b/>
                <w:color w:val="000000"/>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vMerge w:val="continue"/>
            <w:tcBorders>
              <w:tl2br w:val="nil"/>
              <w:tr2bl w:val="nil"/>
            </w:tcBorders>
            <w:shd w:val="clear" w:color="auto" w:fill="auto"/>
            <w:tcMar>
              <w:top w:w="8" w:type="dxa"/>
              <w:left w:w="8" w:type="dxa"/>
              <w:right w:w="8" w:type="dxa"/>
            </w:tcMar>
            <w:vAlign w:val="center"/>
          </w:tcPr>
          <w:p>
            <w:pPr>
              <w:shd w:val="clear" w:color="auto" w:fill="FFFFFF" w:themeFill="background1"/>
              <w:jc w:val="center"/>
              <w:rPr>
                <w:b/>
                <w:color w:val="000000"/>
                <w:szCs w:val="21"/>
                <w:highlight w:val="none"/>
              </w:rPr>
            </w:pPr>
          </w:p>
        </w:tc>
        <w:tc>
          <w:tcPr>
            <w:tcW w:w="1530" w:type="dxa"/>
            <w:vMerge w:val="continue"/>
            <w:tcBorders>
              <w:tl2br w:val="nil"/>
              <w:tr2bl w:val="nil"/>
            </w:tcBorders>
            <w:shd w:val="clear" w:color="auto" w:fill="auto"/>
            <w:tcMar>
              <w:top w:w="8" w:type="dxa"/>
              <w:left w:w="8" w:type="dxa"/>
              <w:right w:w="8" w:type="dxa"/>
            </w:tcMar>
            <w:vAlign w:val="center"/>
          </w:tcPr>
          <w:p>
            <w:pPr>
              <w:shd w:val="clear" w:color="auto" w:fill="FFFFFF" w:themeFill="background1"/>
              <w:jc w:val="center"/>
              <w:rPr>
                <w:b/>
                <w:color w:val="000000"/>
                <w:szCs w:val="21"/>
                <w:highlight w:val="none"/>
              </w:rPr>
            </w:pPr>
          </w:p>
        </w:tc>
        <w:tc>
          <w:tcPr>
            <w:tcW w:w="1374" w:type="dxa"/>
            <w:tcBorders>
              <w:tl2br w:val="nil"/>
              <w:tr2bl w:val="nil"/>
            </w:tcBorders>
            <w:shd w:val="clear" w:color="auto" w:fill="auto"/>
            <w:tcMar>
              <w:top w:w="8" w:type="dxa"/>
              <w:left w:w="8" w:type="dxa"/>
              <w:right w:w="8" w:type="dxa"/>
            </w:tcMar>
            <w:vAlign w:val="center"/>
          </w:tcPr>
          <w:p>
            <w:pPr>
              <w:widowControl/>
              <w:shd w:val="clear" w:color="auto" w:fill="FFFFFF" w:themeFill="background1"/>
              <w:jc w:val="center"/>
              <w:textAlignment w:val="center"/>
              <w:rPr>
                <w:b/>
                <w:color w:val="000000"/>
                <w:szCs w:val="21"/>
                <w:highlight w:val="none"/>
              </w:rPr>
            </w:pPr>
            <w:r>
              <w:rPr>
                <w:b/>
                <w:color w:val="000000"/>
                <w:szCs w:val="21"/>
                <w:highlight w:val="none"/>
                <w:lang w:bidi="ar"/>
              </w:rPr>
              <w:t>本次发行前</w:t>
            </w:r>
          </w:p>
        </w:tc>
        <w:tc>
          <w:tcPr>
            <w:tcW w:w="1408" w:type="dxa"/>
            <w:tcBorders>
              <w:tl2br w:val="nil"/>
              <w:tr2bl w:val="nil"/>
            </w:tcBorders>
            <w:shd w:val="clear" w:color="auto" w:fill="auto"/>
            <w:tcMar>
              <w:top w:w="8" w:type="dxa"/>
              <w:left w:w="8" w:type="dxa"/>
              <w:right w:w="8" w:type="dxa"/>
            </w:tcMar>
            <w:vAlign w:val="center"/>
          </w:tcPr>
          <w:p>
            <w:pPr>
              <w:widowControl/>
              <w:shd w:val="clear" w:color="auto" w:fill="FFFFFF" w:themeFill="background1"/>
              <w:jc w:val="center"/>
              <w:textAlignment w:val="center"/>
              <w:rPr>
                <w:b/>
                <w:color w:val="333333"/>
                <w:szCs w:val="21"/>
                <w:highlight w:val="none"/>
              </w:rPr>
            </w:pPr>
            <w:r>
              <w:rPr>
                <w:b/>
                <w:color w:val="333333"/>
                <w:szCs w:val="21"/>
                <w:highlight w:val="none"/>
                <w:lang w:bidi="ar"/>
              </w:rPr>
              <w:t>本次发行后</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总股本（万股）</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color w:val="000000"/>
                <w:szCs w:val="21"/>
                <w:highlight w:val="none"/>
                <w:lang w:bidi="ar"/>
              </w:rPr>
              <w:t>71,238.88</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color w:val="000000"/>
                <w:szCs w:val="21"/>
                <w:highlight w:val="none"/>
                <w:lang w:bidi="ar"/>
              </w:rPr>
              <w:t>71,238.88</w:t>
            </w:r>
          </w:p>
        </w:tc>
        <w:tc>
          <w:tcPr>
            <w:tcW w:w="1408"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rFonts w:hint="eastAsia"/>
                <w:color w:val="000000"/>
                <w:szCs w:val="21"/>
                <w:highlight w:val="none"/>
                <w:lang w:bidi="ar"/>
              </w:rPr>
              <w:t>74,409.17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rFonts w:hint="eastAsia" w:eastAsia="宋体"/>
                <w:color w:val="000000"/>
                <w:szCs w:val="21"/>
                <w:highlight w:val="none"/>
                <w:lang w:eastAsia="zh-CN" w:bidi="ar"/>
              </w:rPr>
            </w:pPr>
            <w:r>
              <w:rPr>
                <w:rFonts w:hint="eastAsia"/>
                <w:color w:val="000000"/>
                <w:szCs w:val="21"/>
                <w:highlight w:val="none"/>
                <w:lang w:bidi="ar"/>
              </w:rPr>
              <w:t>本次发行股本</w:t>
            </w:r>
            <w:r>
              <w:rPr>
                <w:rFonts w:hint="eastAsia"/>
                <w:color w:val="000000"/>
                <w:szCs w:val="21"/>
                <w:highlight w:val="none"/>
                <w:lang w:eastAsia="zh-CN" w:bidi="ar"/>
              </w:rPr>
              <w:t>（</w:t>
            </w:r>
            <w:r>
              <w:rPr>
                <w:rFonts w:hint="eastAsia"/>
                <w:color w:val="000000"/>
                <w:szCs w:val="21"/>
                <w:highlight w:val="none"/>
                <w:lang w:val="en-US" w:eastAsia="zh-CN" w:bidi="ar"/>
              </w:rPr>
              <w:t>万股</w:t>
            </w:r>
            <w:r>
              <w:rPr>
                <w:rFonts w:hint="eastAsia"/>
                <w:color w:val="000000"/>
                <w:szCs w:val="21"/>
                <w:highlight w:val="none"/>
                <w:lang w:eastAsia="zh-CN" w:bidi="ar"/>
              </w:rPr>
              <w:t>）</w:t>
            </w:r>
          </w:p>
        </w:tc>
        <w:tc>
          <w:tcPr>
            <w:tcW w:w="4312" w:type="dxa"/>
            <w:gridSpan w:val="3"/>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lang w:bidi="ar"/>
              </w:rPr>
            </w:pPr>
            <w:r>
              <w:rPr>
                <w:rFonts w:hint="eastAsia"/>
                <w:color w:val="000000"/>
                <w:szCs w:val="21"/>
                <w:highlight w:val="none"/>
                <w:lang w:bidi="ar"/>
              </w:rPr>
              <w:t xml:space="preserve">5,434.7826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lang w:bidi="ar"/>
              </w:rPr>
            </w:pPr>
            <w:r>
              <w:rPr>
                <w:rFonts w:hint="eastAsia"/>
                <w:color w:val="000000"/>
                <w:szCs w:val="21"/>
                <w:highlight w:val="none"/>
                <w:lang w:bidi="ar"/>
              </w:rPr>
              <w:t>预计本次发行完成月份</w:t>
            </w:r>
          </w:p>
        </w:tc>
        <w:tc>
          <w:tcPr>
            <w:tcW w:w="4312" w:type="dxa"/>
            <w:gridSpan w:val="3"/>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lang w:bidi="ar"/>
              </w:rPr>
            </w:pPr>
            <w:r>
              <w:rPr>
                <w:rFonts w:hint="eastAsia"/>
                <w:color w:val="000000"/>
                <w:szCs w:val="21"/>
                <w:highlight w:val="none"/>
                <w:lang w:bidi="ar"/>
              </w:rPr>
              <w:t>2</w:t>
            </w:r>
            <w:r>
              <w:rPr>
                <w:color w:val="000000"/>
                <w:szCs w:val="21"/>
                <w:highlight w:val="none"/>
                <w:lang w:bidi="ar"/>
              </w:rPr>
              <w:t>022</w:t>
            </w:r>
            <w:r>
              <w:rPr>
                <w:rFonts w:hint="eastAsia"/>
                <w:color w:val="000000"/>
                <w:szCs w:val="21"/>
                <w:highlight w:val="none"/>
                <w:lang w:bidi="ar"/>
              </w:rPr>
              <w:t>年</w:t>
            </w:r>
            <w:r>
              <w:rPr>
                <w:color w:val="000000"/>
                <w:szCs w:val="21"/>
                <w:highlight w:val="none"/>
                <w:lang w:bidi="ar"/>
              </w:rPr>
              <w:t>5</w:t>
            </w:r>
            <w:r>
              <w:rPr>
                <w:rFonts w:hint="eastAsia"/>
                <w:color w:val="000000"/>
                <w:szCs w:val="21"/>
                <w:highlight w:val="none"/>
                <w:lang w:bidi="ar"/>
              </w:rPr>
              <w:t>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8673" w:type="dxa"/>
            <w:gridSpan w:val="4"/>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b/>
                <w:bCs/>
                <w:color w:val="000000"/>
                <w:szCs w:val="21"/>
                <w:highlight w:val="none"/>
                <w:lang w:bidi="ar"/>
              </w:rPr>
              <w:t>假设情形一：2022年度扣非前及扣非后归属于上市公司普通股股东的净利润较2021年度持平</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bookmarkStart w:id="2" w:name="_Hlk87388446"/>
            <w:r>
              <w:rPr>
                <w:rFonts w:hint="eastAsia"/>
                <w:color w:val="000000"/>
                <w:szCs w:val="21"/>
                <w:highlight w:val="none"/>
                <w:lang w:bidi="ar"/>
              </w:rPr>
              <w:t>归属于上市公司股东的净利润</w:t>
            </w:r>
            <w:bookmarkEnd w:id="2"/>
            <w:r>
              <w:rPr>
                <w:color w:val="000000"/>
                <w:szCs w:val="21"/>
                <w:highlight w:val="none"/>
                <w:lang w:bidi="ar"/>
              </w:rPr>
              <w:t>（万元）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4,938.87</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bookmarkStart w:id="3" w:name="_Hlk87388460"/>
            <w:r>
              <w:rPr>
                <w:szCs w:val="21"/>
                <w:highlight w:val="none"/>
              </w:rPr>
              <w:t>4,938.87</w:t>
            </w:r>
            <w:bookmarkEnd w:id="3"/>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4,938.87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rFonts w:hint="eastAsia"/>
                <w:color w:val="000000"/>
                <w:szCs w:val="21"/>
                <w:highlight w:val="none"/>
                <w:lang w:bidi="ar"/>
              </w:rPr>
              <w:t>归属于上市公司股东的扣除非经常性损益的净利润</w:t>
            </w:r>
            <w:r>
              <w:rPr>
                <w:color w:val="000000"/>
                <w:szCs w:val="21"/>
                <w:highlight w:val="none"/>
                <w:lang w:bidi="ar"/>
              </w:rPr>
              <w:t>（万元）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bookmarkStart w:id="4" w:name="_Hlk87388471"/>
            <w:r>
              <w:rPr>
                <w:szCs w:val="21"/>
                <w:highlight w:val="none"/>
              </w:rPr>
              <w:t>-5,920.26</w:t>
            </w:r>
            <w:bookmarkEnd w:id="4"/>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-5,920.26</w:t>
            </w:r>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-5,920.26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基本每股收益（元）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0.0693</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0.0693</w:t>
            </w:r>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 0.0664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稀释每股收益（元）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0.0693</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0.0693</w:t>
            </w:r>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 0.0664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扣除非经常性损益后基本每股收益（元）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-0.0831</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-0.0831</w:t>
            </w:r>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 -0.0796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扣除非经常性损益的稀释每股收益（元）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-0.0831</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-0.0831</w:t>
            </w:r>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 -0.0796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8673" w:type="dxa"/>
            <w:gridSpan w:val="4"/>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b/>
                <w:bCs/>
                <w:color w:val="000000"/>
                <w:szCs w:val="21"/>
                <w:highlight w:val="none"/>
                <w:lang w:bidi="ar"/>
              </w:rPr>
              <w:t>假设情形二：2022年度扣非前及扣非后归属于上市公司普通股股东的净利润</w:t>
            </w:r>
            <w:r>
              <w:rPr>
                <w:rFonts w:hint="eastAsia"/>
                <w:b/>
                <w:bCs/>
                <w:color w:val="000000"/>
                <w:szCs w:val="21"/>
                <w:highlight w:val="none"/>
                <w:lang w:bidi="ar"/>
              </w:rPr>
              <w:t>均为0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rFonts w:hint="eastAsia"/>
                <w:color w:val="000000"/>
                <w:szCs w:val="21"/>
                <w:highlight w:val="none"/>
                <w:lang w:bidi="ar"/>
              </w:rPr>
              <w:t>归属于上市公司股东的净利润</w:t>
            </w:r>
            <w:r>
              <w:rPr>
                <w:color w:val="000000"/>
                <w:szCs w:val="21"/>
                <w:highlight w:val="none"/>
                <w:lang w:bidi="ar"/>
              </w:rPr>
              <w:t>（万元）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4,938.87</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c>
          <w:tcPr>
            <w:tcW w:w="1408"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rFonts w:hint="eastAsia"/>
                <w:color w:val="000000"/>
                <w:szCs w:val="21"/>
                <w:highlight w:val="none"/>
                <w:lang w:bidi="ar"/>
              </w:rPr>
              <w:t>归属于上市公司股东的扣除非经常性损益的净利润</w:t>
            </w:r>
            <w:r>
              <w:rPr>
                <w:color w:val="000000"/>
                <w:szCs w:val="21"/>
                <w:highlight w:val="none"/>
                <w:lang w:bidi="ar"/>
              </w:rPr>
              <w:t>（万元）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-5,920.26</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c>
          <w:tcPr>
            <w:tcW w:w="1408"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基本每股收益（元）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0.0693</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c>
          <w:tcPr>
            <w:tcW w:w="1408"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稀释每股收益（元）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0.0693</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c>
          <w:tcPr>
            <w:tcW w:w="1408"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扣除非经常性损益后基本每股收益（元）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-0.0831</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c>
          <w:tcPr>
            <w:tcW w:w="1408"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扣除非经常性损益的稀释每股收益（元）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-0.0831</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c>
          <w:tcPr>
            <w:tcW w:w="1408"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8673" w:type="dxa"/>
            <w:gridSpan w:val="4"/>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b/>
                <w:bCs/>
                <w:color w:val="000000"/>
                <w:szCs w:val="21"/>
                <w:highlight w:val="none"/>
                <w:lang w:bidi="ar"/>
              </w:rPr>
              <w:t>假设情形三：2022年度扣非前及扣非后归属于上市公司普通股股东的净利润</w:t>
            </w:r>
            <w:r>
              <w:rPr>
                <w:rFonts w:hint="eastAsia"/>
                <w:b/>
                <w:bCs/>
                <w:color w:val="000000"/>
                <w:szCs w:val="21"/>
                <w:highlight w:val="none"/>
                <w:lang w:bidi="ar"/>
              </w:rPr>
              <w:t>较2</w:t>
            </w:r>
            <w:r>
              <w:rPr>
                <w:b/>
                <w:bCs/>
                <w:color w:val="000000"/>
                <w:szCs w:val="21"/>
                <w:highlight w:val="none"/>
                <w:lang w:bidi="ar"/>
              </w:rPr>
              <w:t>021</w:t>
            </w:r>
            <w:r>
              <w:rPr>
                <w:rFonts w:hint="eastAsia"/>
                <w:b/>
                <w:bCs/>
                <w:color w:val="000000"/>
                <w:szCs w:val="21"/>
                <w:highlight w:val="none"/>
                <w:lang w:bidi="ar"/>
              </w:rPr>
              <w:t>年下降1</w:t>
            </w:r>
            <w:r>
              <w:rPr>
                <w:b/>
                <w:bCs/>
                <w:color w:val="000000"/>
                <w:szCs w:val="21"/>
                <w:highlight w:val="none"/>
                <w:lang w:bidi="ar"/>
              </w:rPr>
              <w:t>0</w:t>
            </w:r>
            <w:r>
              <w:rPr>
                <w:rFonts w:hint="eastAsia"/>
                <w:b/>
                <w:bCs/>
                <w:color w:val="000000"/>
                <w:szCs w:val="21"/>
                <w:highlight w:val="none"/>
                <w:lang w:bidi="ar"/>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rFonts w:hint="eastAsia"/>
                <w:color w:val="000000"/>
                <w:szCs w:val="21"/>
                <w:highlight w:val="none"/>
                <w:lang w:bidi="ar"/>
              </w:rPr>
              <w:t>归属于上市公司股东的净利润</w:t>
            </w:r>
            <w:r>
              <w:rPr>
                <w:color w:val="000000"/>
                <w:szCs w:val="21"/>
                <w:highlight w:val="none"/>
                <w:lang w:bidi="ar"/>
              </w:rPr>
              <w:t>（万元）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4,938.87</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4,444.98</w:t>
            </w:r>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4,444.98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bookmarkStart w:id="5" w:name="_Hlk87388405"/>
            <w:r>
              <w:rPr>
                <w:rFonts w:hint="eastAsia"/>
                <w:color w:val="000000"/>
                <w:szCs w:val="21"/>
                <w:highlight w:val="none"/>
                <w:lang w:bidi="ar"/>
              </w:rPr>
              <w:t>归属于上市公司股东的扣除非经常性损益的净利润</w:t>
            </w:r>
            <w:bookmarkEnd w:id="5"/>
            <w:r>
              <w:rPr>
                <w:color w:val="000000"/>
                <w:szCs w:val="21"/>
                <w:highlight w:val="none"/>
                <w:lang w:bidi="ar"/>
              </w:rPr>
              <w:t>（万元）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-5,920.26</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-6,512.29</w:t>
            </w:r>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-6,512.29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基本每股收益（元）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 xml:space="preserve"> 0.0693 </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 xml:space="preserve"> 0.0624 </w:t>
            </w:r>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 0.0597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稀释每股收益（元）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 xml:space="preserve"> 0.0693 </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 xml:space="preserve"> 0.0693 </w:t>
            </w:r>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 0.0664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扣除非经常性损益后基本每股收益（元）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 xml:space="preserve"> -0.0831 </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 xml:space="preserve"> -0.0831 </w:t>
            </w:r>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 -0.0796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361" w:type="dxa"/>
            <w:tcBorders>
              <w:tl2br w:val="nil"/>
              <w:tr2bl w:val="nil"/>
            </w:tcBorders>
            <w:shd w:val="clear" w:color="auto" w:fill="auto"/>
            <w:tcMar>
              <w:top w:w="8" w:type="dxa"/>
              <w:left w:w="8" w:type="dxa"/>
              <w:right w:w="8" w:type="dxa"/>
            </w:tcMar>
            <w:vAlign w:val="center"/>
          </w:tcPr>
          <w:p>
            <w:pPr>
              <w:widowControl/>
              <w:textAlignment w:val="center"/>
              <w:rPr>
                <w:color w:val="000000"/>
                <w:szCs w:val="21"/>
                <w:highlight w:val="none"/>
              </w:rPr>
            </w:pPr>
            <w:r>
              <w:rPr>
                <w:color w:val="000000"/>
                <w:szCs w:val="21"/>
                <w:highlight w:val="none"/>
                <w:lang w:bidi="ar"/>
              </w:rPr>
              <w:t>扣除非经常性损益的稀释每股收益（元）</w:t>
            </w:r>
          </w:p>
        </w:tc>
        <w:tc>
          <w:tcPr>
            <w:tcW w:w="1530"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 xml:space="preserve"> -0.0831 </w:t>
            </w:r>
          </w:p>
        </w:tc>
        <w:tc>
          <w:tcPr>
            <w:tcW w:w="1374" w:type="dxa"/>
            <w:tcBorders>
              <w:tl2br w:val="nil"/>
              <w:tr2bl w:val="nil"/>
            </w:tcBorders>
            <w:shd w:val="clear" w:color="auto" w:fill="auto"/>
            <w:tcMar>
              <w:top w:w="8" w:type="dxa"/>
              <w:left w:w="8" w:type="dxa"/>
              <w:right w:w="8" w:type="dxa"/>
            </w:tcMar>
            <w:vAlign w:val="center"/>
          </w:tcPr>
          <w:p>
            <w:pPr>
              <w:widowControl/>
              <w:jc w:val="right"/>
              <w:textAlignment w:val="center"/>
              <w:rPr>
                <w:color w:val="000000"/>
                <w:szCs w:val="21"/>
                <w:highlight w:val="none"/>
              </w:rPr>
            </w:pPr>
            <w:r>
              <w:rPr>
                <w:szCs w:val="21"/>
                <w:highlight w:val="none"/>
              </w:rPr>
              <w:t xml:space="preserve"> -0.0831 </w:t>
            </w:r>
          </w:p>
        </w:tc>
        <w:tc>
          <w:tcPr>
            <w:tcW w:w="1408" w:type="dxa"/>
            <w:tcBorders>
              <w:tl2br w:val="nil"/>
              <w:tr2bl w:val="nil"/>
            </w:tcBorders>
            <w:shd w:val="clear" w:color="auto" w:fill="auto"/>
            <w:tcMar>
              <w:top w:w="8" w:type="dxa"/>
              <w:left w:w="8" w:type="dxa"/>
              <w:right w:w="8" w:type="dxa"/>
            </w:tcMar>
            <w:vAlign w:val="center"/>
          </w:tcPr>
          <w:p>
            <w:pPr>
              <w:keepNext w:val="0"/>
              <w:keepLines w:val="0"/>
              <w:widowControl/>
              <w:suppressLineNumbers w:val="0"/>
              <w:jc w:val="right"/>
              <w:textAlignment w:val="center"/>
              <w:rPr>
                <w:color w:val="000000"/>
                <w:szCs w:val="21"/>
                <w:highlight w:val="none"/>
              </w:rPr>
            </w:pPr>
            <w:r>
              <w:rPr>
                <w:rFonts w:hint="default" w:ascii="Times New Roman" w:hAnsi="Times New Roman" w:eastAsia="宋体" w:cs="Times New Roman"/>
                <w:i w:val="0"/>
                <w:iCs w:val="0"/>
                <w:color w:val="000000"/>
                <w:kern w:val="0"/>
                <w:sz w:val="21"/>
                <w:szCs w:val="21"/>
                <w:highlight w:val="none"/>
                <w:u w:val="none"/>
                <w:lang w:val="en-US" w:eastAsia="zh-CN" w:bidi="ar"/>
              </w:rPr>
              <w:t xml:space="preserve"> -0.0796 </w:t>
            </w:r>
          </w:p>
        </w:tc>
      </w:tr>
    </w:tbl>
    <w:p>
      <w:pPr>
        <w:pStyle w:val="4"/>
        <w:shd w:val="clear" w:color="auto" w:fill="FFFFFF" w:themeFill="background1"/>
        <w:spacing w:before="156" w:beforeLines="50" w:line="360" w:lineRule="auto"/>
        <w:ind w:firstLine="562" w:firstLineChars="200"/>
        <w:jc w:val="both"/>
        <w:outlineLvl w:val="1"/>
        <w:rPr>
          <w:rFonts w:ascii="Times New Roman" w:hAnsi="Times New Roman" w:cs="Times New Roman"/>
          <w:b/>
          <w:sz w:val="28"/>
          <w:szCs w:val="21"/>
          <w:highlight w:val="none"/>
          <w:lang w:eastAsia="zh-CN"/>
        </w:rPr>
      </w:pPr>
      <w:bookmarkStart w:id="6" w:name="_bookmark34"/>
      <w:bookmarkEnd w:id="6"/>
      <w:bookmarkStart w:id="7" w:name="_Toc18933"/>
      <w:r>
        <w:rPr>
          <w:rFonts w:ascii="Times New Roman" w:hAnsi="Times New Roman" w:cs="Times New Roman"/>
          <w:b/>
          <w:sz w:val="28"/>
          <w:szCs w:val="21"/>
          <w:highlight w:val="none"/>
          <w:lang w:eastAsia="zh-CN"/>
        </w:rPr>
        <w:t>二、本次发行摊薄即期回报的风险提示</w:t>
      </w:r>
      <w:bookmarkEnd w:id="7"/>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本次非公开发行募集资金到位后，公司的总股本和净资产将会相应增加</w:t>
      </w:r>
      <w:r>
        <w:rPr>
          <w:rFonts w:hint="eastAsia" w:ascii="Times New Roman" w:hAnsi="Times New Roman" w:cs="Times New Roman"/>
          <w:highlight w:val="none"/>
          <w:lang w:eastAsia="zh-CN"/>
        </w:rPr>
        <w:t>，有利于增强公司的抗风险能力和战略目标的实现</w:t>
      </w:r>
      <w:r>
        <w:rPr>
          <w:rFonts w:ascii="Times New Roman" w:hAnsi="Times New Roman" w:cs="Times New Roman"/>
          <w:highlight w:val="none"/>
          <w:lang w:eastAsia="zh-CN"/>
        </w:rPr>
        <w:t>。本次募集资金到位后的短期内，公司净利润增长幅度可能会低于净资产和总股本的增长幅度，</w:t>
      </w:r>
      <w:r>
        <w:rPr>
          <w:rFonts w:hint="eastAsia" w:ascii="Times New Roman" w:hAnsi="Times New Roman" w:cs="Times New Roman"/>
          <w:highlight w:val="none"/>
          <w:lang w:eastAsia="zh-CN"/>
        </w:rPr>
        <w:t>基本</w:t>
      </w:r>
      <w:r>
        <w:rPr>
          <w:rFonts w:ascii="Times New Roman" w:hAnsi="Times New Roman" w:cs="Times New Roman"/>
          <w:highlight w:val="none"/>
          <w:lang w:eastAsia="zh-CN"/>
        </w:rPr>
        <w:t>每股收益将出现一定幅度的下降，股东即期回报存在被摊薄的风险。</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hint="eastAsia" w:ascii="Times New Roman" w:hAnsi="Times New Roman" w:cs="Times New Roman"/>
          <w:highlight w:val="none"/>
          <w:lang w:eastAsia="zh-CN"/>
        </w:rPr>
        <w:t>2</w:t>
      </w:r>
      <w:r>
        <w:rPr>
          <w:rFonts w:ascii="Times New Roman" w:hAnsi="Times New Roman" w:cs="Times New Roman"/>
          <w:highlight w:val="none"/>
          <w:lang w:eastAsia="zh-CN"/>
        </w:rPr>
        <w:t>021</w:t>
      </w:r>
      <w:r>
        <w:rPr>
          <w:rFonts w:hint="eastAsia" w:ascii="Times New Roman" w:hAnsi="Times New Roman" w:cs="Times New Roman"/>
          <w:highlight w:val="none"/>
          <w:lang w:eastAsia="zh-CN"/>
        </w:rPr>
        <w:t>年1-</w:t>
      </w:r>
      <w:r>
        <w:rPr>
          <w:rFonts w:ascii="Times New Roman" w:hAnsi="Times New Roman" w:cs="Times New Roman"/>
          <w:highlight w:val="none"/>
          <w:lang w:eastAsia="zh-CN"/>
        </w:rPr>
        <w:t>9</w:t>
      </w:r>
      <w:r>
        <w:rPr>
          <w:rFonts w:hint="eastAsia" w:ascii="Times New Roman" w:hAnsi="Times New Roman" w:cs="Times New Roman"/>
          <w:highlight w:val="none"/>
          <w:lang w:eastAsia="zh-CN"/>
        </w:rPr>
        <w:t>月，公司归属于上市公司股东的净利润</w:t>
      </w:r>
      <w:r>
        <w:rPr>
          <w:rFonts w:ascii="Times New Roman" w:hAnsi="Times New Roman" w:cs="Times New Roman"/>
          <w:highlight w:val="none"/>
          <w:lang w:eastAsia="zh-CN"/>
        </w:rPr>
        <w:t>4,938.87</w:t>
      </w:r>
      <w:r>
        <w:rPr>
          <w:rFonts w:hint="eastAsia" w:ascii="Times New Roman" w:hAnsi="Times New Roman" w:cs="Times New Roman"/>
          <w:highlight w:val="none"/>
          <w:lang w:eastAsia="zh-CN"/>
        </w:rPr>
        <w:t>万元，归属于上市公司股东的扣除非经常性损益的净利润</w:t>
      </w:r>
      <w:r>
        <w:rPr>
          <w:rFonts w:ascii="Times New Roman" w:hAnsi="Times New Roman" w:cs="Times New Roman"/>
          <w:highlight w:val="none"/>
          <w:lang w:eastAsia="zh-CN"/>
        </w:rPr>
        <w:t>-5,920.26</w:t>
      </w:r>
      <w:r>
        <w:rPr>
          <w:rFonts w:hint="eastAsia" w:ascii="Times New Roman" w:hAnsi="Times New Roman" w:cs="Times New Roman"/>
          <w:highlight w:val="none"/>
          <w:lang w:eastAsia="zh-CN"/>
        </w:rPr>
        <w:t>万元，经营状况较2020年有所好转，但仍不排除公司扣除非经常性损益的净利润继续</w:t>
      </w:r>
      <w:r>
        <w:rPr>
          <w:rFonts w:hint="eastAsia" w:ascii="Times New Roman" w:hAnsi="Times New Roman" w:cs="Times New Roman"/>
          <w:highlight w:val="none"/>
          <w:lang w:val="en-US" w:eastAsia="zh-CN"/>
        </w:rPr>
        <w:t>为负</w:t>
      </w:r>
      <w:r>
        <w:rPr>
          <w:rFonts w:hint="eastAsia" w:ascii="Times New Roman" w:hAnsi="Times New Roman" w:cs="Times New Roman"/>
          <w:highlight w:val="none"/>
          <w:lang w:eastAsia="zh-CN"/>
        </w:rPr>
        <w:t>的可能。</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特此提醒投资者关注本次非公开发行摊薄即期回报的风险。</w:t>
      </w:r>
    </w:p>
    <w:p>
      <w:pPr>
        <w:shd w:val="clear" w:color="auto" w:fill="FFFFFF" w:themeFill="background1"/>
        <w:spacing w:before="156" w:beforeLines="50" w:line="360" w:lineRule="auto"/>
        <w:ind w:firstLine="562" w:firstLineChars="200"/>
        <w:outlineLvl w:val="1"/>
        <w:rPr>
          <w:b/>
          <w:sz w:val="28"/>
          <w:szCs w:val="21"/>
          <w:highlight w:val="none"/>
        </w:rPr>
      </w:pPr>
      <w:bookmarkStart w:id="8" w:name="_bookmark35"/>
      <w:bookmarkEnd w:id="8"/>
      <w:bookmarkStart w:id="9" w:name="_Toc10979"/>
      <w:bookmarkStart w:id="10" w:name="_Toc32344"/>
      <w:r>
        <w:rPr>
          <w:b/>
          <w:sz w:val="28"/>
          <w:szCs w:val="21"/>
          <w:highlight w:val="none"/>
        </w:rPr>
        <w:t>三、本次非公开发行的必要性和</w:t>
      </w:r>
      <w:bookmarkEnd w:id="9"/>
      <w:bookmarkEnd w:id="10"/>
      <w:r>
        <w:rPr>
          <w:rFonts w:hint="eastAsia"/>
          <w:b/>
          <w:sz w:val="28"/>
          <w:szCs w:val="21"/>
          <w:highlight w:val="none"/>
        </w:rPr>
        <w:t>合理性</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本次非公开发行的必要性和合理性参见</w:t>
      </w:r>
      <w:r>
        <w:rPr>
          <w:rFonts w:hint="eastAsia" w:ascii="Times New Roman" w:hAnsi="Times New Roman" w:cs="Times New Roman"/>
          <w:highlight w:val="none"/>
          <w:lang w:eastAsia="zh-CN"/>
        </w:rPr>
        <w:t>《江苏吴中医药发展股份有限公司</w:t>
      </w:r>
      <w:r>
        <w:rPr>
          <w:rFonts w:ascii="Times New Roman" w:hAnsi="Times New Roman" w:cs="Times New Roman"/>
          <w:highlight w:val="none"/>
          <w:lang w:eastAsia="zh-CN"/>
        </w:rPr>
        <w:t>2021年度非公开发行A股股票预案</w:t>
      </w:r>
      <w:r>
        <w:rPr>
          <w:rFonts w:hint="eastAsia" w:ascii="Times New Roman" w:hAnsi="Times New Roman" w:cs="Times New Roman"/>
          <w:highlight w:val="none"/>
          <w:lang w:eastAsia="zh-CN"/>
        </w:rPr>
        <w:t>》“</w:t>
      </w:r>
      <w:r>
        <w:rPr>
          <w:rFonts w:ascii="Times New Roman" w:hAnsi="Times New Roman" w:cs="Times New Roman"/>
          <w:highlight w:val="none"/>
          <w:lang w:eastAsia="zh-CN"/>
        </w:rPr>
        <w:t>第四节</w:t>
      </w:r>
      <w:r>
        <w:rPr>
          <w:rFonts w:hint="eastAsia" w:ascii="Times New Roman" w:hAnsi="Times New Roman" w:cs="Times New Roman"/>
          <w:highlight w:val="none"/>
          <w:lang w:eastAsia="zh-CN"/>
        </w:rPr>
        <w:t xml:space="preserve"> </w:t>
      </w:r>
      <w:r>
        <w:rPr>
          <w:rFonts w:ascii="Times New Roman" w:hAnsi="Times New Roman" w:cs="Times New Roman"/>
          <w:highlight w:val="none"/>
          <w:lang w:eastAsia="zh-CN"/>
        </w:rPr>
        <w:t>董事会关于本次募集资金使用的可行性分析</w:t>
      </w:r>
      <w:r>
        <w:rPr>
          <w:rFonts w:hint="eastAsia" w:ascii="Times New Roman" w:hAnsi="Times New Roman" w:cs="Times New Roman"/>
          <w:highlight w:val="none"/>
          <w:lang w:eastAsia="zh-CN"/>
        </w:rPr>
        <w:t>”</w:t>
      </w:r>
      <w:r>
        <w:rPr>
          <w:rFonts w:ascii="Times New Roman" w:hAnsi="Times New Roman" w:cs="Times New Roman"/>
          <w:highlight w:val="none"/>
          <w:lang w:eastAsia="zh-CN"/>
        </w:rPr>
        <w:t>。</w:t>
      </w:r>
    </w:p>
    <w:p>
      <w:pPr>
        <w:shd w:val="clear" w:color="auto" w:fill="FFFFFF" w:themeFill="background1"/>
        <w:spacing w:before="156" w:beforeLines="50" w:line="360" w:lineRule="auto"/>
        <w:ind w:firstLine="562" w:firstLineChars="200"/>
        <w:outlineLvl w:val="1"/>
        <w:rPr>
          <w:b/>
          <w:sz w:val="28"/>
          <w:szCs w:val="21"/>
          <w:highlight w:val="none"/>
        </w:rPr>
      </w:pPr>
      <w:bookmarkStart w:id="11" w:name="_bookmark36"/>
      <w:bookmarkEnd w:id="11"/>
      <w:bookmarkStart w:id="12" w:name="_Toc2970"/>
      <w:bookmarkStart w:id="13" w:name="_Toc21585"/>
      <w:r>
        <w:rPr>
          <w:b/>
          <w:sz w:val="28"/>
          <w:szCs w:val="21"/>
          <w:highlight w:val="none"/>
        </w:rPr>
        <w:t>四、本次募集资金投资项目与公司现有业务的关系，公司从事募投项目在人员、技术、市场等方面的储备情况</w:t>
      </w:r>
      <w:bookmarkEnd w:id="12"/>
      <w:bookmarkEnd w:id="13"/>
    </w:p>
    <w:p>
      <w:pPr>
        <w:pStyle w:val="2"/>
        <w:shd w:val="clear" w:color="auto" w:fill="FFFFFF" w:themeFill="background1"/>
        <w:spacing w:before="156" w:beforeLines="50" w:line="360" w:lineRule="auto"/>
        <w:ind w:firstLine="482" w:firstLineChars="200"/>
        <w:jc w:val="both"/>
        <w:rPr>
          <w:rFonts w:ascii="Times New Roman" w:hAnsi="Times New Roman" w:cs="Times New Roman"/>
          <w:sz w:val="24"/>
          <w:szCs w:val="24"/>
          <w:highlight w:val="none"/>
          <w:lang w:eastAsia="zh-CN"/>
        </w:rPr>
      </w:pPr>
      <w:r>
        <w:rPr>
          <w:rFonts w:ascii="Times New Roman" w:hAnsi="Times New Roman" w:cs="Times New Roman"/>
          <w:sz w:val="24"/>
          <w:szCs w:val="24"/>
          <w:highlight w:val="none"/>
          <w:lang w:eastAsia="zh-CN"/>
        </w:rPr>
        <w:t>（一）募集资金投资项目与公司现有业务的关系</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公司本次非公开发行募集资金扣除相关发行费用后，将用于</w:t>
      </w:r>
      <w:r>
        <w:rPr>
          <w:rFonts w:hint="eastAsia" w:ascii="Times New Roman" w:hAnsi="Times New Roman" w:cs="Times New Roman"/>
          <w:highlight w:val="none"/>
          <w:lang w:eastAsia="zh-CN"/>
        </w:rPr>
        <w:t>补充流动资金、偿还银行贷款</w:t>
      </w:r>
      <w:r>
        <w:rPr>
          <w:rFonts w:ascii="Times New Roman" w:hAnsi="Times New Roman" w:cs="Times New Roman"/>
          <w:highlight w:val="none"/>
          <w:lang w:eastAsia="zh-CN"/>
        </w:rPr>
        <w:t>。本次非公开发行后有助于</w:t>
      </w:r>
      <w:r>
        <w:rPr>
          <w:rFonts w:hint="eastAsia" w:ascii="Times New Roman" w:hAnsi="Times New Roman" w:cs="Times New Roman"/>
          <w:highlight w:val="none"/>
          <w:lang w:eastAsia="zh-CN"/>
        </w:rPr>
        <w:t>补充业务发展所必需的营运资金</w:t>
      </w:r>
      <w:r>
        <w:rPr>
          <w:rFonts w:ascii="Times New Roman" w:hAnsi="Times New Roman" w:cs="Times New Roman"/>
          <w:highlight w:val="none"/>
          <w:lang w:eastAsia="zh-CN"/>
        </w:rPr>
        <w:t>，提高现有业务市场竞争力，同时有效优化公司资本结构，提升公司抗风险能力，从而进一步提升公司盈利水平和核心竞争力。本次非公开发行后，公司的主营业务保持不变。</w:t>
      </w:r>
    </w:p>
    <w:p>
      <w:pPr>
        <w:pStyle w:val="2"/>
        <w:shd w:val="clear" w:color="auto" w:fill="FFFFFF" w:themeFill="background1"/>
        <w:spacing w:before="156" w:beforeLines="50" w:line="360" w:lineRule="auto"/>
        <w:ind w:firstLine="482" w:firstLineChars="200"/>
        <w:jc w:val="both"/>
        <w:rPr>
          <w:rFonts w:ascii="Times New Roman" w:hAnsi="Times New Roman" w:cs="Times New Roman"/>
          <w:sz w:val="24"/>
          <w:szCs w:val="24"/>
          <w:highlight w:val="none"/>
          <w:lang w:eastAsia="zh-CN"/>
        </w:rPr>
      </w:pPr>
      <w:r>
        <w:rPr>
          <w:rFonts w:ascii="Times New Roman" w:hAnsi="Times New Roman" w:cs="Times New Roman"/>
          <w:sz w:val="24"/>
          <w:szCs w:val="24"/>
          <w:highlight w:val="none"/>
          <w:lang w:eastAsia="zh-CN"/>
        </w:rPr>
        <w:t>（二）公司从事募投项目在人员、技术、市场等方面的储备情况</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公司本次非公开发行募集资金扣除相关发行费用后，将用于</w:t>
      </w:r>
      <w:r>
        <w:rPr>
          <w:rFonts w:hint="eastAsia" w:ascii="Times New Roman" w:hAnsi="Times New Roman" w:cs="Times New Roman"/>
          <w:highlight w:val="none"/>
          <w:lang w:eastAsia="zh-CN"/>
        </w:rPr>
        <w:t>补充流动资金、偿还银行贷款</w:t>
      </w:r>
      <w:r>
        <w:rPr>
          <w:rFonts w:ascii="Times New Roman" w:hAnsi="Times New Roman" w:cs="Times New Roman"/>
          <w:highlight w:val="none"/>
          <w:lang w:eastAsia="zh-CN"/>
        </w:rPr>
        <w:t>，不涉及从事募投项目在人员、技术、市场等方面的储备。</w:t>
      </w:r>
    </w:p>
    <w:p>
      <w:pPr>
        <w:shd w:val="clear" w:color="auto" w:fill="FFFFFF" w:themeFill="background1"/>
        <w:spacing w:before="156" w:beforeLines="50" w:line="360" w:lineRule="auto"/>
        <w:ind w:firstLine="482" w:firstLineChars="200"/>
        <w:outlineLvl w:val="1"/>
        <w:rPr>
          <w:b/>
          <w:sz w:val="24"/>
          <w:highlight w:val="none"/>
        </w:rPr>
      </w:pPr>
      <w:bookmarkStart w:id="14" w:name="_bookmark37"/>
      <w:bookmarkEnd w:id="14"/>
      <w:bookmarkStart w:id="15" w:name="_Toc24729"/>
      <w:bookmarkStart w:id="16" w:name="_Toc24000"/>
      <w:bookmarkStart w:id="17" w:name="_Toc29017"/>
      <w:r>
        <w:rPr>
          <w:b/>
          <w:sz w:val="24"/>
          <w:highlight w:val="none"/>
        </w:rPr>
        <w:t>五、公司本次非公开发行摊薄即期回报的填补措施</w:t>
      </w:r>
      <w:bookmarkEnd w:id="15"/>
      <w:bookmarkEnd w:id="16"/>
      <w:bookmarkEnd w:id="17"/>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为维护广大投资者的利益，降低即期回报被摊薄的风险，增强对股东的长期回报能力，公司将加强募集资金使用监管，提高经营管理和内部控制水平，增强公司的盈利能力，强化投资者的回报机制，具体措施如下：</w:t>
      </w:r>
    </w:p>
    <w:p>
      <w:pPr>
        <w:pStyle w:val="2"/>
        <w:shd w:val="clear" w:color="auto" w:fill="FFFFFF" w:themeFill="background1"/>
        <w:spacing w:before="156" w:beforeLines="50" w:line="360" w:lineRule="auto"/>
        <w:ind w:firstLine="482" w:firstLineChars="200"/>
        <w:jc w:val="both"/>
        <w:rPr>
          <w:rFonts w:ascii="Times New Roman" w:hAnsi="Times New Roman" w:cs="Times New Roman"/>
          <w:sz w:val="24"/>
          <w:szCs w:val="24"/>
          <w:highlight w:val="none"/>
          <w:lang w:eastAsia="zh-CN"/>
        </w:rPr>
      </w:pPr>
      <w:r>
        <w:rPr>
          <w:rFonts w:ascii="Times New Roman" w:hAnsi="Times New Roman" w:cs="Times New Roman"/>
          <w:sz w:val="24"/>
          <w:szCs w:val="24"/>
          <w:highlight w:val="none"/>
          <w:lang w:eastAsia="zh-CN"/>
        </w:rPr>
        <w:t>（一）不断完善利润分配政策，保障投资者利益</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为进一步完善公司科学、持续、稳定、透明的分红决策和监管机制，进一步强化回报股东的意识，公司根据中国证监会《上市公司监管指引第3号——上市公司现金分红》（证监会公告[2013]43号</w:t>
      </w:r>
      <w:r>
        <w:rPr>
          <w:rFonts w:hint="eastAsia" w:ascii="Times New Roman" w:hAnsi="Times New Roman" w:cs="Times New Roman"/>
          <w:highlight w:val="none"/>
          <w:lang w:eastAsia="zh-CN"/>
        </w:rPr>
        <w:t>）《</w:t>
      </w:r>
      <w:r>
        <w:rPr>
          <w:rFonts w:ascii="Times New Roman" w:hAnsi="Times New Roman" w:cs="Times New Roman"/>
          <w:highlight w:val="none"/>
          <w:lang w:eastAsia="zh-CN"/>
        </w:rPr>
        <w:t>关于进一步落实上市公司现金分红有关事项的通知》（证监发[2012]37号）</w:t>
      </w:r>
      <w:r>
        <w:rPr>
          <w:rFonts w:hint="eastAsia" w:ascii="Times New Roman" w:hAnsi="Times New Roman" w:cs="Times New Roman"/>
          <w:highlight w:val="none"/>
          <w:lang w:eastAsia="zh-CN"/>
        </w:rPr>
        <w:t>《</w:t>
      </w:r>
      <w:r>
        <w:rPr>
          <w:rFonts w:ascii="Times New Roman" w:hAnsi="Times New Roman" w:cs="Times New Roman"/>
          <w:highlight w:val="none"/>
          <w:lang w:eastAsia="zh-CN"/>
        </w:rPr>
        <w:t>上海证券交易所上市公司现金分红指引》（上证公字[2013]1号）及《公司章程》的相关规定，制定了《江苏吴中医药发展股份有限公司未来三年（2021年-2023年）股东分红回报规划》，明确了公司利润分配的具体形式、比例等，保障投资者的利益。</w:t>
      </w:r>
    </w:p>
    <w:p>
      <w:pPr>
        <w:pStyle w:val="2"/>
        <w:shd w:val="clear" w:color="auto" w:fill="FFFFFF" w:themeFill="background1"/>
        <w:spacing w:before="156" w:beforeLines="50" w:line="360" w:lineRule="auto"/>
        <w:ind w:firstLine="482" w:firstLineChars="200"/>
        <w:jc w:val="both"/>
        <w:rPr>
          <w:rFonts w:ascii="Times New Roman" w:hAnsi="Times New Roman" w:cs="Times New Roman"/>
          <w:sz w:val="24"/>
          <w:szCs w:val="24"/>
          <w:highlight w:val="none"/>
          <w:lang w:eastAsia="zh-CN"/>
        </w:rPr>
      </w:pPr>
      <w:r>
        <w:rPr>
          <w:rFonts w:ascii="Times New Roman" w:hAnsi="Times New Roman" w:cs="Times New Roman"/>
          <w:sz w:val="24"/>
          <w:szCs w:val="24"/>
          <w:highlight w:val="none"/>
          <w:lang w:eastAsia="zh-CN"/>
        </w:rPr>
        <w:t>（二）加强募集资金管理，保障募集资金按计划使用</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本次非公开发行的募集资金到位后，公司将严格执行《证券法》《上市公司监管指引第2号—上市公司募集资金管理和使用的监管要求》等规定以及公司相应的募集资金管理制度对募集资金专户存储、使用、变更、监督和责任追究等方面的规定，保证募集资金按照原定用途得到充分有效利用，有效防范募集资金使用风险。</w:t>
      </w:r>
    </w:p>
    <w:p>
      <w:pPr>
        <w:pStyle w:val="2"/>
        <w:shd w:val="clear" w:color="auto" w:fill="FFFFFF" w:themeFill="background1"/>
        <w:spacing w:before="156" w:beforeLines="50" w:line="360" w:lineRule="auto"/>
        <w:ind w:firstLine="482" w:firstLineChars="200"/>
        <w:jc w:val="both"/>
        <w:rPr>
          <w:rFonts w:ascii="Times New Roman" w:hAnsi="Times New Roman" w:cs="Times New Roman"/>
          <w:sz w:val="24"/>
          <w:szCs w:val="24"/>
          <w:highlight w:val="none"/>
          <w:lang w:eastAsia="zh-CN"/>
        </w:rPr>
      </w:pPr>
      <w:r>
        <w:rPr>
          <w:rFonts w:ascii="Times New Roman" w:hAnsi="Times New Roman" w:cs="Times New Roman"/>
          <w:sz w:val="24"/>
          <w:szCs w:val="24"/>
          <w:highlight w:val="none"/>
          <w:lang w:eastAsia="zh-CN"/>
        </w:rPr>
        <w:t>（三）不断完善公司治理，全面提升公司经营管理水平</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公司将严格遵循《公司法</w:t>
      </w:r>
      <w:r>
        <w:rPr>
          <w:rFonts w:hint="eastAsia" w:ascii="Times New Roman" w:hAnsi="Times New Roman" w:cs="Times New Roman"/>
          <w:highlight w:val="none"/>
          <w:lang w:eastAsia="zh-CN"/>
        </w:rPr>
        <w:t>》《</w:t>
      </w:r>
      <w:r>
        <w:rPr>
          <w:rFonts w:ascii="Times New Roman" w:hAnsi="Times New Roman" w:cs="Times New Roman"/>
          <w:highlight w:val="none"/>
          <w:lang w:eastAsia="zh-CN"/>
        </w:rPr>
        <w:t>证券法</w:t>
      </w:r>
      <w:r>
        <w:rPr>
          <w:rFonts w:hint="eastAsia" w:ascii="Times New Roman" w:hAnsi="Times New Roman" w:cs="Times New Roman"/>
          <w:highlight w:val="none"/>
          <w:lang w:eastAsia="zh-CN"/>
        </w:rPr>
        <w:t>》《</w:t>
      </w:r>
      <w:r>
        <w:rPr>
          <w:rFonts w:ascii="Times New Roman" w:hAnsi="Times New Roman" w:cs="Times New Roman"/>
          <w:highlight w:val="none"/>
          <w:lang w:eastAsia="zh-CN"/>
        </w:rPr>
        <w:t>上市公司治理准则》等法律、法规和规范性文件的要求，不断完善公司治理结构，确保股东能够充分行使权利；确保董事会能够按照法律、法规和《公司章程》的规定行使职权，作出科学、迅速和谨慎的决策；确保独立董事能够认真履行职责，维护公司整体利益，尤其是中小股东的合法权益；确保监事会能够独立有效地行使对董事、经理和其他高级管理人员及公司财务的监督权和检查权，为公司发展提供制度保障。</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公司将改进完善业务流程，加强对研发、采购、生产各环节的信息化管理，加强内部控制，提高营运资金周转效率。同时公司将加强预算管理，严格执行公司的采购审批制度。另外，公司将完善薪酬和激励机制，引进市场优秀人才，并最大限度地激发员工积极性，挖掘公司员工的创造力和潜在动力。通过以上措施，公司将全面提升公司的运营效率，降低成本，并提升公司的经营业绩。</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公司所制定的填补回报措施不等于对公司未来利润做出保证。投资者不应据此进行投资决策，投资者据此进行投资决策造成损失的，公司不承担赔偿责任，敬请广大投资者注意投资风险。</w:t>
      </w:r>
    </w:p>
    <w:p>
      <w:pPr>
        <w:shd w:val="clear" w:color="auto" w:fill="FFFFFF" w:themeFill="background1"/>
        <w:spacing w:before="156" w:beforeLines="50" w:line="360" w:lineRule="auto"/>
        <w:ind w:firstLine="562" w:firstLineChars="200"/>
        <w:outlineLvl w:val="1"/>
        <w:rPr>
          <w:b/>
          <w:sz w:val="28"/>
          <w:szCs w:val="21"/>
          <w:highlight w:val="none"/>
        </w:rPr>
      </w:pPr>
      <w:bookmarkStart w:id="18" w:name="_bookmark38"/>
      <w:bookmarkEnd w:id="18"/>
      <w:bookmarkStart w:id="19" w:name="_Toc19966"/>
      <w:bookmarkStart w:id="20" w:name="_Toc27768"/>
      <w:bookmarkStart w:id="21" w:name="_Toc17839"/>
      <w:r>
        <w:rPr>
          <w:b/>
          <w:sz w:val="28"/>
          <w:szCs w:val="21"/>
          <w:highlight w:val="none"/>
        </w:rPr>
        <w:t>六、相关主体出具的承诺</w:t>
      </w:r>
      <w:bookmarkEnd w:id="19"/>
      <w:bookmarkEnd w:id="20"/>
      <w:bookmarkEnd w:id="21"/>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根据《国务院办公厅关于进一步加强资本市场中小投资者合法权益保护工作的意见》（国办发[2013]110号）《国务院关于进一步促进资本市场健康发展的若干意见》（国发[2014]17号）以及中国证监会发布的《关于首发及再融资、重大资产重组摊薄即期回报有关事项的指导意见》（中国证监会公告[2015]31号）等法律、法规和规范性文件的相关要求，为维护公司和全体股东的合法权益，公司控股股东吴中控股、实际控制人钱群英女士以及公司董事、高级管理人员对公司填补被摊薄即期回报的措施能够得到切实履行做出了承诺，具体如下：</w:t>
      </w:r>
    </w:p>
    <w:p>
      <w:pPr>
        <w:pStyle w:val="2"/>
        <w:shd w:val="clear" w:color="auto" w:fill="FFFFFF" w:themeFill="background1"/>
        <w:spacing w:before="156" w:beforeLines="50" w:line="360" w:lineRule="auto"/>
        <w:ind w:firstLine="482" w:firstLineChars="200"/>
        <w:jc w:val="both"/>
        <w:rPr>
          <w:rFonts w:ascii="Times New Roman" w:hAnsi="Times New Roman" w:cs="Times New Roman"/>
          <w:sz w:val="24"/>
          <w:szCs w:val="24"/>
          <w:highlight w:val="none"/>
          <w:lang w:eastAsia="zh-CN"/>
        </w:rPr>
      </w:pPr>
      <w:r>
        <w:rPr>
          <w:rFonts w:ascii="Times New Roman" w:hAnsi="Times New Roman" w:cs="Times New Roman"/>
          <w:sz w:val="24"/>
          <w:szCs w:val="24"/>
          <w:highlight w:val="none"/>
          <w:lang w:eastAsia="zh-CN"/>
        </w:rPr>
        <w:t>（一）公司控股股东、实际控制人的承诺</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公司控股股东吴中控股、实际控制人钱群英女士承诺如下：</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“1、本公司/本人不越权干预公司经营管理活动，不侵占公司利益。</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2、自本承诺出具日至公司本次非公开发行实施完毕前，若中国证券监督管理委员会、上海证券交易所等监管机构作出关于填补回报措施及其承诺的其他新监管规定的，且上述承诺不能满足监管机构该等规定时，本公司/本人承诺届时将按照监管机构的最新规定出具补充承诺。</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3、作为填补回报措施相关责任主体之一，本公司/本人承诺切实履行公司制定的有关填补即期回报的相关措施以及本公司/本人对此作出的任何有关填补即期回报措施的承诺，如违反本承诺或拒不履行本承诺给公司或股东造成损失的，同意根据法律、法规及证券监管机构的有关规定承担相应法律责任。”</w:t>
      </w:r>
    </w:p>
    <w:p>
      <w:pPr>
        <w:pStyle w:val="2"/>
        <w:shd w:val="clear" w:color="auto" w:fill="FFFFFF" w:themeFill="background1"/>
        <w:spacing w:before="156" w:beforeLines="50" w:line="360" w:lineRule="auto"/>
        <w:ind w:firstLine="482" w:firstLineChars="200"/>
        <w:jc w:val="both"/>
        <w:rPr>
          <w:rFonts w:ascii="Times New Roman" w:hAnsi="Times New Roman" w:cs="Times New Roman"/>
          <w:sz w:val="24"/>
          <w:szCs w:val="24"/>
          <w:highlight w:val="none"/>
          <w:lang w:eastAsia="zh-CN"/>
        </w:rPr>
      </w:pPr>
      <w:r>
        <w:rPr>
          <w:rFonts w:ascii="Times New Roman" w:hAnsi="Times New Roman" w:cs="Times New Roman"/>
          <w:sz w:val="24"/>
          <w:szCs w:val="24"/>
          <w:highlight w:val="none"/>
          <w:lang w:eastAsia="zh-CN"/>
        </w:rPr>
        <w:t>（二）公司董事、高级管理人员的承诺</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公司董事、高级管理人员承诺如下：</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“1、本人承诺不以无偿或以不公平条件向其他单位或者个人输送利益，也不采用其他方式损害公司利益；</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2、本人承诺对本人的职务消费行为进行约束；</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3、本人承诺不动用公司资产从事与本人履行职责无关的投资、消费活动；</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4、本人承诺由董事会或董事会提名委员会、薪酬与考核委员会制定的薪酬制度与公司填补回报措施的执行情况相挂钩；</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5、未来公司如实施股权激励，本人承诺股权激励的行权条件与公司填补回报措施的执行情况相挂钩；</w:t>
      </w:r>
    </w:p>
    <w:p>
      <w:pPr>
        <w:pStyle w:val="4"/>
        <w:shd w:val="clear" w:color="auto" w:fill="FFFFFF" w:themeFill="background1"/>
        <w:spacing w:before="156" w:beforeLines="50"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6、本人承诺切实履行公司制定的有关填补回报措施以及本承诺，如违反本承诺或拒不履行本承诺给公司或股东造成损失的，同意根据法律、法规及证券监管机构的有关规定承担相应法律责任；</w:t>
      </w:r>
    </w:p>
    <w:p>
      <w:pPr>
        <w:pStyle w:val="4"/>
        <w:spacing w:line="360" w:lineRule="auto"/>
        <w:ind w:firstLine="480" w:firstLineChars="200"/>
        <w:jc w:val="both"/>
        <w:rPr>
          <w:rFonts w:ascii="Times New Roman" w:hAnsi="Times New Roman" w:cs="Times New Roman"/>
          <w:highlight w:val="none"/>
          <w:lang w:eastAsia="zh-CN"/>
        </w:rPr>
      </w:pPr>
      <w:r>
        <w:rPr>
          <w:rFonts w:ascii="Times New Roman" w:hAnsi="Times New Roman" w:cs="Times New Roman"/>
          <w:highlight w:val="none"/>
          <w:lang w:eastAsia="zh-CN"/>
        </w:rPr>
        <w:t>7、自本承诺出具日至公司本次非公开发行股票实施完毕前，若中国证券监督管理委员会、上海证券交易所等监管机构作出关于填补回报措施及其承诺的其他新的监管规定的，且上述承诺不能满足监管机构该等规定时，本人承诺届时将按照监管机构的最新规定出具补充承诺。”</w:t>
      </w:r>
    </w:p>
    <w:p>
      <w:pPr>
        <w:spacing w:line="360" w:lineRule="auto"/>
        <w:ind w:firstLine="480" w:firstLineChars="200"/>
        <w:rPr>
          <w:rFonts w:ascii="宋体" w:hAnsi="宋体"/>
          <w:sz w:val="24"/>
          <w:highlight w:val="none"/>
        </w:rPr>
      </w:pPr>
    </w:p>
    <w:p>
      <w:pPr>
        <w:spacing w:line="360" w:lineRule="auto"/>
        <w:ind w:firstLine="480" w:firstLineChars="200"/>
        <w:rPr>
          <w:rFonts w:ascii="宋体" w:hAnsi="宋体"/>
          <w:sz w:val="24"/>
          <w:highlight w:val="none"/>
        </w:rPr>
      </w:pPr>
      <w:r>
        <w:rPr>
          <w:rFonts w:ascii="宋体" w:hAnsi="宋体"/>
          <w:sz w:val="24"/>
          <w:highlight w:val="none"/>
        </w:rPr>
        <w:t>特此公告</w:t>
      </w:r>
      <w:r>
        <w:rPr>
          <w:rFonts w:hint="eastAsia" w:ascii="宋体" w:hAnsi="宋体"/>
          <w:sz w:val="24"/>
          <w:highlight w:val="none"/>
        </w:rPr>
        <w:t>。</w:t>
      </w:r>
    </w:p>
    <w:p>
      <w:pPr>
        <w:spacing w:line="360" w:lineRule="auto"/>
        <w:ind w:firstLine="480" w:firstLineChars="200"/>
        <w:rPr>
          <w:rFonts w:ascii="宋体" w:hAnsi="宋体"/>
          <w:sz w:val="24"/>
          <w:highlight w:val="none"/>
        </w:rPr>
      </w:pPr>
    </w:p>
    <w:p>
      <w:pPr>
        <w:spacing w:line="360" w:lineRule="auto"/>
        <w:ind w:firstLine="4320" w:firstLineChars="1800"/>
        <w:jc w:val="right"/>
        <w:rPr>
          <w:rFonts w:ascii="宋体" w:hAnsi="宋体"/>
          <w:sz w:val="24"/>
          <w:highlight w:val="none"/>
        </w:rPr>
      </w:pPr>
      <w:r>
        <w:rPr>
          <w:rFonts w:hint="eastAsia" w:ascii="宋体" w:hAnsi="宋体"/>
          <w:sz w:val="24"/>
          <w:highlight w:val="none"/>
        </w:rPr>
        <w:t>江苏吴中医药发展股份有限公司</w:t>
      </w:r>
    </w:p>
    <w:p>
      <w:pPr>
        <w:spacing w:line="360" w:lineRule="auto"/>
        <w:ind w:right="1200" w:firstLine="4320" w:firstLineChars="1800"/>
        <w:jc w:val="right"/>
        <w:rPr>
          <w:rFonts w:ascii="宋体" w:hAnsi="宋体"/>
          <w:sz w:val="24"/>
          <w:highlight w:val="none"/>
        </w:rPr>
      </w:pPr>
      <w:r>
        <w:rPr>
          <w:rFonts w:hint="eastAsia" w:ascii="宋体" w:hAnsi="宋体"/>
          <w:sz w:val="24"/>
          <w:highlight w:val="none"/>
        </w:rPr>
        <w:t xml:space="preserve">董事会      </w:t>
      </w:r>
    </w:p>
    <w:p>
      <w:pPr>
        <w:spacing w:line="360" w:lineRule="auto"/>
        <w:ind w:right="480" w:firstLine="5220" w:firstLineChars="2175"/>
        <w:jc w:val="center"/>
        <w:rPr>
          <w:rFonts w:ascii="宋体" w:hAnsi="宋体"/>
          <w:sz w:val="24"/>
          <w:highlight w:val="none"/>
        </w:rPr>
      </w:pPr>
      <w:r>
        <w:rPr>
          <w:rFonts w:hint="eastAsia" w:ascii="宋体" w:hAnsi="宋体"/>
          <w:sz w:val="24"/>
          <w:highlight w:val="none"/>
        </w:rPr>
        <w:t xml:space="preserve">    2021年11月12日</w:t>
      </w:r>
    </w:p>
    <w:p>
      <w:pPr>
        <w:rPr>
          <w:highlight w:val="none"/>
        </w:rPr>
      </w:pP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619"/>
    <w:rsid w:val="00003634"/>
    <w:rsid w:val="000052DC"/>
    <w:rsid w:val="0001153F"/>
    <w:rsid w:val="000119BB"/>
    <w:rsid w:val="00014AE5"/>
    <w:rsid w:val="00015559"/>
    <w:rsid w:val="00023920"/>
    <w:rsid w:val="0003171D"/>
    <w:rsid w:val="00034EAF"/>
    <w:rsid w:val="000377FA"/>
    <w:rsid w:val="00037B42"/>
    <w:rsid w:val="000514F9"/>
    <w:rsid w:val="00055DC4"/>
    <w:rsid w:val="00060AD4"/>
    <w:rsid w:val="0007113B"/>
    <w:rsid w:val="00077985"/>
    <w:rsid w:val="00084BC3"/>
    <w:rsid w:val="000C1EBF"/>
    <w:rsid w:val="000D5160"/>
    <w:rsid w:val="000D59A8"/>
    <w:rsid w:val="000E2525"/>
    <w:rsid w:val="000E5928"/>
    <w:rsid w:val="000E7F53"/>
    <w:rsid w:val="000F4B47"/>
    <w:rsid w:val="001044FC"/>
    <w:rsid w:val="00115DE0"/>
    <w:rsid w:val="00125BE8"/>
    <w:rsid w:val="00125EB5"/>
    <w:rsid w:val="001302DF"/>
    <w:rsid w:val="00141A30"/>
    <w:rsid w:val="0014235B"/>
    <w:rsid w:val="001449C0"/>
    <w:rsid w:val="00151157"/>
    <w:rsid w:val="00163205"/>
    <w:rsid w:val="00167B35"/>
    <w:rsid w:val="00173650"/>
    <w:rsid w:val="00173BB6"/>
    <w:rsid w:val="001741A0"/>
    <w:rsid w:val="00184711"/>
    <w:rsid w:val="00190F6C"/>
    <w:rsid w:val="00194544"/>
    <w:rsid w:val="001A69DA"/>
    <w:rsid w:val="001A6F91"/>
    <w:rsid w:val="001C16DA"/>
    <w:rsid w:val="001D0721"/>
    <w:rsid w:val="001D198B"/>
    <w:rsid w:val="001E39C4"/>
    <w:rsid w:val="001E49FF"/>
    <w:rsid w:val="001E57CA"/>
    <w:rsid w:val="001F698F"/>
    <w:rsid w:val="00201E57"/>
    <w:rsid w:val="00204DB0"/>
    <w:rsid w:val="002101B8"/>
    <w:rsid w:val="002127B8"/>
    <w:rsid w:val="00227A64"/>
    <w:rsid w:val="002343EA"/>
    <w:rsid w:val="002442A3"/>
    <w:rsid w:val="002473AD"/>
    <w:rsid w:val="00251C73"/>
    <w:rsid w:val="00256018"/>
    <w:rsid w:val="002561CC"/>
    <w:rsid w:val="0025726D"/>
    <w:rsid w:val="0025795B"/>
    <w:rsid w:val="00266464"/>
    <w:rsid w:val="00270486"/>
    <w:rsid w:val="0027220C"/>
    <w:rsid w:val="0027469E"/>
    <w:rsid w:val="002808AB"/>
    <w:rsid w:val="00284CD2"/>
    <w:rsid w:val="00297F43"/>
    <w:rsid w:val="002A1B60"/>
    <w:rsid w:val="002B5713"/>
    <w:rsid w:val="002B7CCB"/>
    <w:rsid w:val="002C43B8"/>
    <w:rsid w:val="002C45E5"/>
    <w:rsid w:val="002C71E7"/>
    <w:rsid w:val="002D2369"/>
    <w:rsid w:val="002D4C8C"/>
    <w:rsid w:val="002F64AF"/>
    <w:rsid w:val="002F74DC"/>
    <w:rsid w:val="0030503B"/>
    <w:rsid w:val="00324EB8"/>
    <w:rsid w:val="003307ED"/>
    <w:rsid w:val="003334F6"/>
    <w:rsid w:val="003402E8"/>
    <w:rsid w:val="00342CB6"/>
    <w:rsid w:val="00353BA1"/>
    <w:rsid w:val="00360937"/>
    <w:rsid w:val="00363847"/>
    <w:rsid w:val="0036422B"/>
    <w:rsid w:val="003657D5"/>
    <w:rsid w:val="0037324C"/>
    <w:rsid w:val="00373349"/>
    <w:rsid w:val="0038210C"/>
    <w:rsid w:val="003870CC"/>
    <w:rsid w:val="003A1590"/>
    <w:rsid w:val="003B1D84"/>
    <w:rsid w:val="003B5345"/>
    <w:rsid w:val="003C607D"/>
    <w:rsid w:val="003D0C3B"/>
    <w:rsid w:val="003D3FFF"/>
    <w:rsid w:val="003D798A"/>
    <w:rsid w:val="003E2FD2"/>
    <w:rsid w:val="003E355B"/>
    <w:rsid w:val="003F5DA1"/>
    <w:rsid w:val="00410015"/>
    <w:rsid w:val="00417107"/>
    <w:rsid w:val="0041720E"/>
    <w:rsid w:val="0042410C"/>
    <w:rsid w:val="0043417C"/>
    <w:rsid w:val="004374BE"/>
    <w:rsid w:val="0044127B"/>
    <w:rsid w:val="00444265"/>
    <w:rsid w:val="004502F4"/>
    <w:rsid w:val="004667F2"/>
    <w:rsid w:val="00475AC0"/>
    <w:rsid w:val="004958E0"/>
    <w:rsid w:val="00496E8A"/>
    <w:rsid w:val="004A41EF"/>
    <w:rsid w:val="004A44DF"/>
    <w:rsid w:val="004B70B1"/>
    <w:rsid w:val="004B7E3E"/>
    <w:rsid w:val="004C0C76"/>
    <w:rsid w:val="004C27B9"/>
    <w:rsid w:val="004C3A3E"/>
    <w:rsid w:val="004C3DB4"/>
    <w:rsid w:val="004D2BA0"/>
    <w:rsid w:val="004E363D"/>
    <w:rsid w:val="004F1ED6"/>
    <w:rsid w:val="004F1F15"/>
    <w:rsid w:val="004F65E5"/>
    <w:rsid w:val="005014D1"/>
    <w:rsid w:val="00517C61"/>
    <w:rsid w:val="005216F4"/>
    <w:rsid w:val="0054211F"/>
    <w:rsid w:val="00542DA0"/>
    <w:rsid w:val="0054311D"/>
    <w:rsid w:val="005477DA"/>
    <w:rsid w:val="005542A7"/>
    <w:rsid w:val="00555131"/>
    <w:rsid w:val="00557690"/>
    <w:rsid w:val="005712CB"/>
    <w:rsid w:val="00572AC7"/>
    <w:rsid w:val="00572D96"/>
    <w:rsid w:val="005737FA"/>
    <w:rsid w:val="00577CBB"/>
    <w:rsid w:val="00580E39"/>
    <w:rsid w:val="00581027"/>
    <w:rsid w:val="00591636"/>
    <w:rsid w:val="005B285D"/>
    <w:rsid w:val="005B4F18"/>
    <w:rsid w:val="005C3668"/>
    <w:rsid w:val="005D417A"/>
    <w:rsid w:val="005D4ACB"/>
    <w:rsid w:val="005D5EDA"/>
    <w:rsid w:val="005E4AFF"/>
    <w:rsid w:val="005F0AEF"/>
    <w:rsid w:val="00606509"/>
    <w:rsid w:val="00615D49"/>
    <w:rsid w:val="0062719F"/>
    <w:rsid w:val="006412D7"/>
    <w:rsid w:val="006446F0"/>
    <w:rsid w:val="00645C77"/>
    <w:rsid w:val="00647683"/>
    <w:rsid w:val="00662769"/>
    <w:rsid w:val="00663516"/>
    <w:rsid w:val="0067327D"/>
    <w:rsid w:val="0067661A"/>
    <w:rsid w:val="00682D83"/>
    <w:rsid w:val="00683AED"/>
    <w:rsid w:val="0069424B"/>
    <w:rsid w:val="00695D72"/>
    <w:rsid w:val="006A1A8F"/>
    <w:rsid w:val="006A4EA1"/>
    <w:rsid w:val="006B29CA"/>
    <w:rsid w:val="006B2B65"/>
    <w:rsid w:val="006B7491"/>
    <w:rsid w:val="006C1D25"/>
    <w:rsid w:val="006E12CC"/>
    <w:rsid w:val="007001F0"/>
    <w:rsid w:val="007014FC"/>
    <w:rsid w:val="00712B2A"/>
    <w:rsid w:val="007230C3"/>
    <w:rsid w:val="0075060C"/>
    <w:rsid w:val="007564B5"/>
    <w:rsid w:val="0076676A"/>
    <w:rsid w:val="00766EEB"/>
    <w:rsid w:val="00772A33"/>
    <w:rsid w:val="007826E8"/>
    <w:rsid w:val="0078609E"/>
    <w:rsid w:val="007918EE"/>
    <w:rsid w:val="007A1575"/>
    <w:rsid w:val="007C0761"/>
    <w:rsid w:val="007C79A9"/>
    <w:rsid w:val="007C7BAF"/>
    <w:rsid w:val="007E3476"/>
    <w:rsid w:val="00802A0A"/>
    <w:rsid w:val="008051A9"/>
    <w:rsid w:val="008051F9"/>
    <w:rsid w:val="00824AB0"/>
    <w:rsid w:val="008378DC"/>
    <w:rsid w:val="00837AFB"/>
    <w:rsid w:val="008412C9"/>
    <w:rsid w:val="00887DA0"/>
    <w:rsid w:val="00893296"/>
    <w:rsid w:val="008935D4"/>
    <w:rsid w:val="008A72B1"/>
    <w:rsid w:val="008B3703"/>
    <w:rsid w:val="008B3DD4"/>
    <w:rsid w:val="008B43ED"/>
    <w:rsid w:val="008B4735"/>
    <w:rsid w:val="008B5B30"/>
    <w:rsid w:val="008B6235"/>
    <w:rsid w:val="008C0E07"/>
    <w:rsid w:val="008E57CC"/>
    <w:rsid w:val="008F5155"/>
    <w:rsid w:val="008F6AB5"/>
    <w:rsid w:val="00933FA5"/>
    <w:rsid w:val="00934104"/>
    <w:rsid w:val="009440E4"/>
    <w:rsid w:val="0094672C"/>
    <w:rsid w:val="00955A3F"/>
    <w:rsid w:val="00960430"/>
    <w:rsid w:val="00967AA4"/>
    <w:rsid w:val="00972218"/>
    <w:rsid w:val="009841CB"/>
    <w:rsid w:val="00995DC5"/>
    <w:rsid w:val="009E1FA0"/>
    <w:rsid w:val="009E3014"/>
    <w:rsid w:val="009E66F9"/>
    <w:rsid w:val="009F0BB3"/>
    <w:rsid w:val="00A05A16"/>
    <w:rsid w:val="00A06832"/>
    <w:rsid w:val="00A1341B"/>
    <w:rsid w:val="00A13AC5"/>
    <w:rsid w:val="00A1423D"/>
    <w:rsid w:val="00A204FB"/>
    <w:rsid w:val="00A205C1"/>
    <w:rsid w:val="00A206E4"/>
    <w:rsid w:val="00A267F9"/>
    <w:rsid w:val="00A31603"/>
    <w:rsid w:val="00A34683"/>
    <w:rsid w:val="00A36051"/>
    <w:rsid w:val="00A37C3C"/>
    <w:rsid w:val="00A42891"/>
    <w:rsid w:val="00A51FF0"/>
    <w:rsid w:val="00A72475"/>
    <w:rsid w:val="00A7732D"/>
    <w:rsid w:val="00A842DF"/>
    <w:rsid w:val="00A950B9"/>
    <w:rsid w:val="00A973BC"/>
    <w:rsid w:val="00AA10D4"/>
    <w:rsid w:val="00AA706B"/>
    <w:rsid w:val="00AB0CFB"/>
    <w:rsid w:val="00AB15F8"/>
    <w:rsid w:val="00AB2664"/>
    <w:rsid w:val="00AB53AC"/>
    <w:rsid w:val="00AB6C97"/>
    <w:rsid w:val="00AC11D0"/>
    <w:rsid w:val="00AC7ABF"/>
    <w:rsid w:val="00AD0003"/>
    <w:rsid w:val="00AD7DEB"/>
    <w:rsid w:val="00AE30A2"/>
    <w:rsid w:val="00AF45BF"/>
    <w:rsid w:val="00AF476E"/>
    <w:rsid w:val="00B03668"/>
    <w:rsid w:val="00B07E79"/>
    <w:rsid w:val="00B17AF8"/>
    <w:rsid w:val="00B20534"/>
    <w:rsid w:val="00B27494"/>
    <w:rsid w:val="00B31A8D"/>
    <w:rsid w:val="00B369BE"/>
    <w:rsid w:val="00B40795"/>
    <w:rsid w:val="00B40E4D"/>
    <w:rsid w:val="00B52013"/>
    <w:rsid w:val="00B57C2F"/>
    <w:rsid w:val="00B83882"/>
    <w:rsid w:val="00B83EF8"/>
    <w:rsid w:val="00B87AB6"/>
    <w:rsid w:val="00B929E0"/>
    <w:rsid w:val="00BA1EF6"/>
    <w:rsid w:val="00BA46C7"/>
    <w:rsid w:val="00BB5C59"/>
    <w:rsid w:val="00BB5E17"/>
    <w:rsid w:val="00BB5F62"/>
    <w:rsid w:val="00BC7D27"/>
    <w:rsid w:val="00BE0A0A"/>
    <w:rsid w:val="00BE5053"/>
    <w:rsid w:val="00BE7989"/>
    <w:rsid w:val="00BF5380"/>
    <w:rsid w:val="00BF68F7"/>
    <w:rsid w:val="00C01D90"/>
    <w:rsid w:val="00C1036D"/>
    <w:rsid w:val="00C14435"/>
    <w:rsid w:val="00C14443"/>
    <w:rsid w:val="00C209AA"/>
    <w:rsid w:val="00C20B2B"/>
    <w:rsid w:val="00C25619"/>
    <w:rsid w:val="00C37A71"/>
    <w:rsid w:val="00C442D1"/>
    <w:rsid w:val="00C51C5F"/>
    <w:rsid w:val="00C62BAA"/>
    <w:rsid w:val="00C65924"/>
    <w:rsid w:val="00C66833"/>
    <w:rsid w:val="00C66A20"/>
    <w:rsid w:val="00C6792D"/>
    <w:rsid w:val="00C71DAA"/>
    <w:rsid w:val="00C745A9"/>
    <w:rsid w:val="00C770B6"/>
    <w:rsid w:val="00C77455"/>
    <w:rsid w:val="00C77936"/>
    <w:rsid w:val="00C77C63"/>
    <w:rsid w:val="00C8490D"/>
    <w:rsid w:val="00C84E9B"/>
    <w:rsid w:val="00C875F5"/>
    <w:rsid w:val="00CA1004"/>
    <w:rsid w:val="00CB2DCE"/>
    <w:rsid w:val="00CC65AD"/>
    <w:rsid w:val="00CC7C0B"/>
    <w:rsid w:val="00CD2A4D"/>
    <w:rsid w:val="00CD44DC"/>
    <w:rsid w:val="00CD5891"/>
    <w:rsid w:val="00CD607E"/>
    <w:rsid w:val="00CD6EAB"/>
    <w:rsid w:val="00CD7F62"/>
    <w:rsid w:val="00CE3B3D"/>
    <w:rsid w:val="00CE4D8A"/>
    <w:rsid w:val="00CF2676"/>
    <w:rsid w:val="00CF42BE"/>
    <w:rsid w:val="00CF7E7A"/>
    <w:rsid w:val="00D0156B"/>
    <w:rsid w:val="00D04CBB"/>
    <w:rsid w:val="00D05E2F"/>
    <w:rsid w:val="00D141A5"/>
    <w:rsid w:val="00D21B8D"/>
    <w:rsid w:val="00D24824"/>
    <w:rsid w:val="00D26D15"/>
    <w:rsid w:val="00D3212E"/>
    <w:rsid w:val="00D431AD"/>
    <w:rsid w:val="00D45281"/>
    <w:rsid w:val="00D53DC4"/>
    <w:rsid w:val="00D601FE"/>
    <w:rsid w:val="00D6753A"/>
    <w:rsid w:val="00D7040A"/>
    <w:rsid w:val="00D71559"/>
    <w:rsid w:val="00D73864"/>
    <w:rsid w:val="00D77523"/>
    <w:rsid w:val="00D819D3"/>
    <w:rsid w:val="00D86A2F"/>
    <w:rsid w:val="00D909E7"/>
    <w:rsid w:val="00D90BC6"/>
    <w:rsid w:val="00D92B06"/>
    <w:rsid w:val="00D9452A"/>
    <w:rsid w:val="00DC0757"/>
    <w:rsid w:val="00DC1510"/>
    <w:rsid w:val="00DD409A"/>
    <w:rsid w:val="00DE24B3"/>
    <w:rsid w:val="00DE3893"/>
    <w:rsid w:val="00DE4805"/>
    <w:rsid w:val="00DF08C9"/>
    <w:rsid w:val="00E003D0"/>
    <w:rsid w:val="00E025CD"/>
    <w:rsid w:val="00E05034"/>
    <w:rsid w:val="00E14AD6"/>
    <w:rsid w:val="00E220DE"/>
    <w:rsid w:val="00E26F68"/>
    <w:rsid w:val="00E30EA1"/>
    <w:rsid w:val="00E31233"/>
    <w:rsid w:val="00E373CB"/>
    <w:rsid w:val="00E4508D"/>
    <w:rsid w:val="00E74755"/>
    <w:rsid w:val="00E74E4D"/>
    <w:rsid w:val="00E77D37"/>
    <w:rsid w:val="00E81D6C"/>
    <w:rsid w:val="00E90C0B"/>
    <w:rsid w:val="00E915EA"/>
    <w:rsid w:val="00E9529E"/>
    <w:rsid w:val="00E96761"/>
    <w:rsid w:val="00E97E93"/>
    <w:rsid w:val="00EA6444"/>
    <w:rsid w:val="00EB0FB2"/>
    <w:rsid w:val="00EB5658"/>
    <w:rsid w:val="00EB7FBA"/>
    <w:rsid w:val="00ED4428"/>
    <w:rsid w:val="00ED6800"/>
    <w:rsid w:val="00EE1637"/>
    <w:rsid w:val="00EF67AA"/>
    <w:rsid w:val="00F03FA2"/>
    <w:rsid w:val="00F07A0E"/>
    <w:rsid w:val="00F11687"/>
    <w:rsid w:val="00F12677"/>
    <w:rsid w:val="00F13C59"/>
    <w:rsid w:val="00F161EE"/>
    <w:rsid w:val="00F168FB"/>
    <w:rsid w:val="00F21312"/>
    <w:rsid w:val="00F23D77"/>
    <w:rsid w:val="00F25681"/>
    <w:rsid w:val="00F3504C"/>
    <w:rsid w:val="00F41B3B"/>
    <w:rsid w:val="00F43502"/>
    <w:rsid w:val="00F642E6"/>
    <w:rsid w:val="00F75621"/>
    <w:rsid w:val="00F75B8D"/>
    <w:rsid w:val="00F7601B"/>
    <w:rsid w:val="00F84401"/>
    <w:rsid w:val="00F92A30"/>
    <w:rsid w:val="00FA5496"/>
    <w:rsid w:val="00FB3375"/>
    <w:rsid w:val="00FB56C5"/>
    <w:rsid w:val="00FB79DD"/>
    <w:rsid w:val="00FC49C6"/>
    <w:rsid w:val="00FD17D4"/>
    <w:rsid w:val="00FD212D"/>
    <w:rsid w:val="00FE4FBE"/>
    <w:rsid w:val="00FE57F0"/>
    <w:rsid w:val="00FE5ACA"/>
    <w:rsid w:val="00FF4417"/>
    <w:rsid w:val="60605EF7"/>
    <w:rsid w:val="60A71136"/>
    <w:rsid w:val="7FC03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3"/>
    <w:semiHidden/>
    <w:unhideWhenUsed/>
    <w:qFormat/>
    <w:uiPriority w:val="9"/>
    <w:pPr>
      <w:keepNext/>
      <w:keepLines/>
      <w:autoSpaceDE w:val="0"/>
      <w:autoSpaceDN w:val="0"/>
      <w:spacing w:before="260" w:after="260" w:line="416" w:lineRule="auto"/>
      <w:jc w:val="left"/>
      <w:outlineLvl w:val="2"/>
    </w:pPr>
    <w:rPr>
      <w:rFonts w:ascii="宋体" w:hAnsi="宋体" w:cs="宋体"/>
      <w:b/>
      <w:bCs/>
      <w:kern w:val="0"/>
      <w:sz w:val="32"/>
      <w:szCs w:val="32"/>
      <w:lang w:eastAsia="en-US"/>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link w:val="12"/>
    <w:qFormat/>
    <w:uiPriority w:val="1"/>
    <w:pPr>
      <w:autoSpaceDE w:val="0"/>
      <w:autoSpaceDN w:val="0"/>
      <w:jc w:val="left"/>
    </w:pPr>
    <w:rPr>
      <w:rFonts w:ascii="宋体" w:hAnsi="宋体" w:cs="宋体"/>
      <w:kern w:val="0"/>
      <w:sz w:val="24"/>
      <w:lang w:eastAsia="en-US"/>
    </w:rPr>
  </w:style>
  <w:style w:type="paragraph" w:styleId="5">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paragraph" w:customStyle="1" w:styleId="11">
    <w:name w:val="Default"/>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12">
    <w:name w:val="正文文本 Char"/>
    <w:basedOn w:val="8"/>
    <w:link w:val="4"/>
    <w:qFormat/>
    <w:uiPriority w:val="1"/>
    <w:rPr>
      <w:rFonts w:ascii="宋体" w:hAnsi="宋体" w:eastAsia="宋体" w:cs="宋体"/>
      <w:kern w:val="0"/>
      <w:sz w:val="24"/>
      <w:szCs w:val="24"/>
      <w:lang w:eastAsia="en-US"/>
    </w:rPr>
  </w:style>
  <w:style w:type="character" w:customStyle="1" w:styleId="13">
    <w:name w:val="标题 3 Char"/>
    <w:basedOn w:val="8"/>
    <w:link w:val="2"/>
    <w:semiHidden/>
    <w:qFormat/>
    <w:uiPriority w:val="9"/>
    <w:rPr>
      <w:rFonts w:ascii="宋体" w:hAnsi="宋体" w:eastAsia="宋体" w:cs="宋体"/>
      <w:b/>
      <w:bCs/>
      <w:kern w:val="0"/>
      <w:sz w:val="32"/>
      <w:szCs w:val="32"/>
      <w:lang w:eastAsia="en-US"/>
    </w:rPr>
  </w:style>
  <w:style w:type="character" w:customStyle="1" w:styleId="14">
    <w:name w:val="font01"/>
    <w:basedOn w:val="8"/>
    <w:qFormat/>
    <w:uiPriority w:val="0"/>
    <w:rPr>
      <w:rFonts w:hint="eastAsia" w:ascii="宋体" w:hAnsi="宋体" w:eastAsia="宋体" w:cs="宋体"/>
      <w:b/>
      <w:color w:val="000000"/>
      <w:sz w:val="20"/>
      <w:szCs w:val="20"/>
      <w:u w:val="none"/>
    </w:rPr>
  </w:style>
  <w:style w:type="character" w:customStyle="1" w:styleId="15">
    <w:name w:val="font31"/>
    <w:basedOn w:val="8"/>
    <w:qFormat/>
    <w:uiPriority w:val="0"/>
    <w:rPr>
      <w:rFonts w:hint="default" w:ascii="Times New Roman" w:hAnsi="Times New Roman" w:cs="Times New Roman"/>
      <w:b/>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752</Words>
  <Characters>4290</Characters>
  <Lines>35</Lines>
  <Paragraphs>10</Paragraphs>
  <TotalTime>1</TotalTime>
  <ScaleCrop>false</ScaleCrop>
  <LinksUpToDate>false</LinksUpToDate>
  <CharactersWithSpaces>5032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2021-11-10T05:47:00Z</dcterms:created>
  <dc:creator>李锐</dc:creator>
  <cp:lastModifiedBy>卡塔多尔</cp:lastModifiedBy>
  <dcterms:modified xsi:type="dcterms:W3CDTF">2021-11-11T07:54:25Z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060BF1AA7BF14929A6F3E92516E0DFC9</vt:lpwstr>
  </property>
</Properties>
</file>