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153" w:rightChars="-73"/>
        <w:jc w:val="center"/>
        <w:rPr>
          <w:rFonts w:hint="default" w:ascii="黑体" w:hAnsi="宋体" w:eastAsia="宋体"/>
          <w:b/>
          <w:bCs/>
          <w:color w:val="FF0000"/>
          <w:sz w:val="32"/>
          <w:lang w:val="en-US" w:eastAsia="zh-CN"/>
        </w:rPr>
      </w:pPr>
      <w:r>
        <w:rPr>
          <w:rFonts w:hint="eastAsia" w:ascii="宋体" w:hAnsi="宋体" w:cs="宋体"/>
          <w:color w:val="000000"/>
          <w:kern w:val="0"/>
          <w:sz w:val="24"/>
        </w:rPr>
        <w:t>证券代码：600200         证券简称：江苏吴中      公告编号：临2023-</w:t>
      </w:r>
      <w:r>
        <w:rPr>
          <w:rFonts w:hint="eastAsia" w:ascii="宋体" w:hAnsi="宋体" w:cs="宋体"/>
          <w:color w:val="000000"/>
          <w:kern w:val="0"/>
          <w:sz w:val="24"/>
          <w:lang w:val="en-US" w:eastAsia="zh-CN"/>
        </w:rPr>
        <w:t>024</w:t>
      </w:r>
    </w:p>
    <w:p>
      <w:pPr>
        <w:spacing w:line="360" w:lineRule="auto"/>
        <w:ind w:right="-153" w:rightChars="-73"/>
        <w:jc w:val="center"/>
        <w:rPr>
          <w:rFonts w:ascii="黑体" w:hAnsi="宋体" w:eastAsia="黑体"/>
          <w:b/>
          <w:bCs/>
          <w:color w:val="FF0000"/>
          <w:sz w:val="32"/>
        </w:rPr>
      </w:pPr>
    </w:p>
    <w:p>
      <w:pPr>
        <w:spacing w:line="360" w:lineRule="auto"/>
        <w:ind w:right="-153" w:rightChars="-73"/>
        <w:jc w:val="center"/>
        <w:rPr>
          <w:rFonts w:ascii="黑体" w:hAnsi="宋体" w:eastAsia="黑体"/>
          <w:b/>
          <w:bCs/>
          <w:color w:val="FF0000"/>
          <w:sz w:val="32"/>
        </w:rPr>
      </w:pPr>
      <w:r>
        <w:rPr>
          <w:rFonts w:hint="eastAsia" w:ascii="黑体" w:hAnsi="宋体" w:eastAsia="黑体"/>
          <w:b/>
          <w:bCs/>
          <w:color w:val="FF0000"/>
          <w:sz w:val="32"/>
        </w:rPr>
        <w:t>江苏吴中医药发展股份有限公司关于拟</w:t>
      </w:r>
    </w:p>
    <w:p>
      <w:pPr>
        <w:spacing w:line="360" w:lineRule="auto"/>
        <w:ind w:right="-153" w:rightChars="-73"/>
        <w:jc w:val="center"/>
        <w:rPr>
          <w:rFonts w:ascii="黑体" w:hAnsi="宋体" w:eastAsia="黑体"/>
          <w:b/>
          <w:bCs/>
          <w:color w:val="FF0000"/>
          <w:sz w:val="32"/>
        </w:rPr>
      </w:pPr>
      <w:r>
        <w:rPr>
          <w:rFonts w:hint="eastAsia" w:ascii="黑体" w:hAnsi="宋体" w:eastAsia="黑体"/>
          <w:b/>
          <w:bCs/>
          <w:color w:val="FF0000"/>
          <w:sz w:val="32"/>
        </w:rPr>
        <w:t>变更公司注册资本及修订《公司章程》的公告</w:t>
      </w:r>
    </w:p>
    <w:p>
      <w:pPr>
        <w:autoSpaceDE w:val="0"/>
        <w:autoSpaceDN w:val="0"/>
        <w:adjustRightInd w:val="0"/>
        <w:spacing w:line="360" w:lineRule="auto"/>
        <w:ind w:firstLine="482" w:firstLineChars="200"/>
        <w:rPr>
          <w:rFonts w:hint="eastAsia" w:ascii="ˎ̥" w:hAnsi="ˎ̥"/>
          <w:b/>
          <w:sz w:val="24"/>
        </w:rPr>
      </w:pPr>
    </w:p>
    <w:p>
      <w:pPr>
        <w:autoSpaceDE w:val="0"/>
        <w:autoSpaceDN w:val="0"/>
        <w:adjustRightInd w:val="0"/>
        <w:spacing w:line="360" w:lineRule="auto"/>
        <w:ind w:firstLine="482" w:firstLineChars="200"/>
        <w:rPr>
          <w:rFonts w:hint="eastAsia" w:ascii="ˎ̥" w:hAnsi="ˎ̥"/>
          <w:b/>
          <w:sz w:val="24"/>
        </w:rPr>
      </w:pPr>
      <w:r>
        <w:rPr>
          <w:rFonts w:hint="eastAsia" w:ascii="ˎ̥" w:hAnsi="ˎ̥"/>
          <w:b/>
          <w:sz w:val="24"/>
        </w:rPr>
        <w:t>本公司董事会及董事会全体成员保证公告内容不存在虚假记载、误导性陈述或者重大遗漏，</w:t>
      </w:r>
      <w:r>
        <w:rPr>
          <w:rFonts w:hint="eastAsia" w:asciiTheme="minorEastAsia" w:hAnsiTheme="minorEastAsia" w:eastAsiaTheme="minorEastAsia" w:cstheme="minorEastAsia"/>
          <w:b/>
          <w:sz w:val="24"/>
        </w:rPr>
        <w:t>并对其内容的真实、准确和完整承担法律责任</w:t>
      </w:r>
      <w:r>
        <w:rPr>
          <w:rFonts w:hint="eastAsia" w:ascii="ˎ̥" w:hAnsi="ˎ̥"/>
          <w:b/>
          <w:sz w:val="24"/>
        </w:rPr>
        <w:t>。</w:t>
      </w:r>
    </w:p>
    <w:p>
      <w:pPr>
        <w:spacing w:line="360" w:lineRule="auto"/>
        <w:rPr>
          <w:rFonts w:ascii="宋体" w:cs="宋体"/>
          <w:color w:val="000000"/>
          <w:kern w:val="0"/>
          <w:sz w:val="24"/>
        </w:rPr>
      </w:pPr>
    </w:p>
    <w:p>
      <w:pPr>
        <w:spacing w:line="360" w:lineRule="auto"/>
        <w:ind w:firstLine="482" w:firstLineChars="200"/>
        <w:rPr>
          <w:rFonts w:ascii="宋体" w:hAnsi="宋体"/>
          <w:b/>
          <w:bCs/>
          <w:sz w:val="24"/>
        </w:rPr>
      </w:pPr>
      <w:r>
        <w:rPr>
          <w:rFonts w:hint="eastAsia" w:ascii="宋体" w:hAnsi="宋体"/>
          <w:b/>
          <w:bCs/>
          <w:sz w:val="24"/>
        </w:rPr>
        <w:t>重要内容提示：</w:t>
      </w:r>
    </w:p>
    <w:p>
      <w:pPr>
        <w:numPr>
          <w:ilvl w:val="0"/>
          <w:numId w:val="1"/>
        </w:numPr>
        <w:spacing w:line="360" w:lineRule="auto"/>
        <w:ind w:left="0" w:firstLine="420"/>
        <w:rPr>
          <w:rFonts w:ascii="宋体" w:hAnsi="宋体"/>
          <w:sz w:val="24"/>
        </w:rPr>
      </w:pPr>
      <w:r>
        <w:rPr>
          <w:rFonts w:hint="eastAsia" w:ascii="宋体" w:hAnsi="宋体"/>
          <w:sz w:val="24"/>
        </w:rPr>
        <w:t xml:space="preserve">该事项尚须向市场监督管理部门办理变更登记与备案，最终以登记机关变更登记的公司注册资本及《公司章程》为准。   </w:t>
      </w:r>
    </w:p>
    <w:p>
      <w:pPr>
        <w:spacing w:line="360" w:lineRule="auto"/>
        <w:rPr>
          <w:rFonts w:ascii="宋体" w:hAnsi="宋体"/>
          <w:sz w:val="24"/>
        </w:rPr>
      </w:pPr>
      <w:r>
        <w:rPr>
          <w:rFonts w:hint="eastAsia" w:ascii="宋体" w:hAnsi="宋体"/>
          <w:sz w:val="24"/>
        </w:rPr>
        <w:t xml:space="preserve"> </w:t>
      </w:r>
    </w:p>
    <w:p>
      <w:pPr>
        <w:spacing w:line="360" w:lineRule="auto"/>
        <w:ind w:firstLine="480" w:firstLineChars="200"/>
        <w:rPr>
          <w:rFonts w:ascii="宋体" w:hAnsi="宋体"/>
          <w:sz w:val="24"/>
        </w:rPr>
      </w:pPr>
      <w:r>
        <w:rPr>
          <w:rFonts w:hint="eastAsia" w:ascii="宋体" w:hAnsi="宋体"/>
          <w:sz w:val="24"/>
        </w:rPr>
        <w:t>2023年4月25日，江苏吴中医药发展股份有限公司（以下简称“公司”）召开第十届董事会第七次会议，审议通过了《江苏吴中医药发展股份有限公司关于拟变更公司注册资本的议案》《江苏吴中医药发展股份有限公司关于拟修改&lt;公司章程&gt;部分条款的议案》,上述议案尚须提交公司股东大会审议通过。具体情况如下：</w:t>
      </w:r>
    </w:p>
    <w:p>
      <w:pPr>
        <w:spacing w:line="360" w:lineRule="auto"/>
        <w:ind w:firstLine="482" w:firstLineChars="200"/>
        <w:rPr>
          <w:rFonts w:ascii="宋体" w:hAnsi="宋体"/>
          <w:b/>
          <w:sz w:val="24"/>
        </w:rPr>
      </w:pPr>
      <w:r>
        <w:rPr>
          <w:rFonts w:hint="eastAsia" w:ascii="宋体" w:hAnsi="宋体"/>
          <w:b/>
          <w:sz w:val="24"/>
        </w:rPr>
        <w:t>一、注册资本变更情况</w:t>
      </w:r>
    </w:p>
    <w:p>
      <w:pPr>
        <w:spacing w:line="360" w:lineRule="auto"/>
        <w:ind w:firstLine="480" w:firstLineChars="200"/>
        <w:rPr>
          <w:rFonts w:ascii="宋体" w:hAnsi="宋体"/>
          <w:bCs/>
          <w:sz w:val="24"/>
        </w:rPr>
      </w:pPr>
      <w:r>
        <w:rPr>
          <w:rFonts w:hint="eastAsia" w:ascii="宋体" w:hAnsi="宋体"/>
          <w:bCs/>
          <w:sz w:val="24"/>
        </w:rPr>
        <w:t>鉴于2021年限制性股票激励计划中2名首次授予激励对象已离职，根据公司《2021年限制性股票激励计划（草案）》的相关规定，经公司第十届董事会第七次会议和第十届监事会第七次会议审议通过，公司对2名激励对象已获授但尚未解除限售的38,000股限制性股票进行回购注销。</w:t>
      </w:r>
    </w:p>
    <w:p>
      <w:pPr>
        <w:spacing w:line="360" w:lineRule="auto"/>
        <w:ind w:firstLine="480" w:firstLineChars="200"/>
        <w:rPr>
          <w:rFonts w:ascii="宋体" w:hAnsi="宋体"/>
          <w:b/>
          <w:sz w:val="24"/>
        </w:rPr>
      </w:pPr>
      <w:r>
        <w:rPr>
          <w:rFonts w:hint="eastAsia" w:ascii="宋体" w:hAnsi="宋体"/>
          <w:bCs/>
          <w:sz w:val="24"/>
        </w:rPr>
        <w:t>本次股份回购注销完成后，公司股份总数将由712,323,832股变更为712,285,832股，公司注册资本将由人民币712,323,832元变更为人民币712,285,832元。</w:t>
      </w:r>
    </w:p>
    <w:p>
      <w:pPr>
        <w:spacing w:line="360" w:lineRule="auto"/>
        <w:ind w:firstLine="482" w:firstLineChars="200"/>
        <w:rPr>
          <w:rFonts w:ascii="宋体" w:hAnsi="宋体"/>
          <w:b/>
          <w:sz w:val="24"/>
        </w:rPr>
      </w:pPr>
      <w:r>
        <w:rPr>
          <w:rFonts w:hint="eastAsia" w:ascii="宋体" w:hAnsi="宋体"/>
          <w:b/>
          <w:sz w:val="24"/>
        </w:rPr>
        <w:t>二、《公司章程》修改情况</w:t>
      </w:r>
    </w:p>
    <w:p>
      <w:pPr>
        <w:spacing w:line="360" w:lineRule="auto"/>
        <w:ind w:firstLine="480" w:firstLineChars="200"/>
        <w:rPr>
          <w:rFonts w:asciiTheme="minorEastAsia" w:hAnsiTheme="minorEastAsia"/>
          <w:sz w:val="24"/>
        </w:rPr>
      </w:pPr>
      <w:r>
        <w:rPr>
          <w:rFonts w:hint="eastAsia" w:asciiTheme="minorEastAsia" w:hAnsiTheme="minorEastAsia"/>
          <w:sz w:val="24"/>
        </w:rPr>
        <w:t>根据公司注册资本变更情况公司拟对《公司章程》的相应条款进行修改。具体修改内容见下表：</w:t>
      </w:r>
    </w:p>
    <w:tbl>
      <w:tblPr>
        <w:tblStyle w:val="5"/>
        <w:tblW w:w="9073"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4111"/>
        <w:gridCol w:w="42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tcPr>
          <w:p>
            <w:pPr>
              <w:spacing w:line="360" w:lineRule="auto"/>
              <w:jc w:val="center"/>
              <w:rPr>
                <w:rFonts w:asciiTheme="minorEastAsia" w:hAnsiTheme="minorEastAsia"/>
                <w:b/>
                <w:kern w:val="0"/>
                <w:szCs w:val="21"/>
              </w:rPr>
            </w:pPr>
            <w:r>
              <w:rPr>
                <w:rFonts w:hint="eastAsia" w:asciiTheme="minorEastAsia" w:hAnsiTheme="minorEastAsia"/>
                <w:b/>
                <w:kern w:val="0"/>
                <w:szCs w:val="21"/>
              </w:rPr>
              <w:t>序号</w:t>
            </w:r>
          </w:p>
        </w:tc>
        <w:tc>
          <w:tcPr>
            <w:tcW w:w="4111" w:type="dxa"/>
          </w:tcPr>
          <w:p>
            <w:pPr>
              <w:spacing w:line="360" w:lineRule="auto"/>
              <w:jc w:val="center"/>
              <w:rPr>
                <w:rFonts w:asciiTheme="minorEastAsia" w:hAnsiTheme="minorEastAsia"/>
                <w:b/>
                <w:kern w:val="0"/>
                <w:szCs w:val="21"/>
              </w:rPr>
            </w:pPr>
            <w:r>
              <w:rPr>
                <w:rFonts w:hint="eastAsia" w:asciiTheme="minorEastAsia" w:hAnsiTheme="minorEastAsia"/>
                <w:b/>
                <w:kern w:val="0"/>
                <w:szCs w:val="21"/>
              </w:rPr>
              <w:t>原条款为</w:t>
            </w:r>
          </w:p>
        </w:tc>
        <w:tc>
          <w:tcPr>
            <w:tcW w:w="4252" w:type="dxa"/>
          </w:tcPr>
          <w:p>
            <w:pPr>
              <w:spacing w:line="360" w:lineRule="auto"/>
              <w:jc w:val="center"/>
              <w:rPr>
                <w:rFonts w:asciiTheme="minorEastAsia" w:hAnsiTheme="minorEastAsia"/>
                <w:b/>
                <w:kern w:val="0"/>
                <w:szCs w:val="21"/>
              </w:rPr>
            </w:pPr>
            <w:r>
              <w:rPr>
                <w:rFonts w:hint="eastAsia" w:asciiTheme="minorEastAsia" w:hAnsiTheme="minorEastAsia"/>
                <w:b/>
                <w:kern w:val="0"/>
                <w:szCs w:val="21"/>
              </w:rPr>
              <w:t>拟修改为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vAlign w:val="center"/>
          </w:tcPr>
          <w:p>
            <w:pPr>
              <w:jc w:val="center"/>
              <w:rPr>
                <w:rFonts w:asciiTheme="minorEastAsia" w:hAnsiTheme="minorEastAsia"/>
                <w:kern w:val="0"/>
                <w:szCs w:val="21"/>
              </w:rPr>
            </w:pPr>
            <w:r>
              <w:rPr>
                <w:rFonts w:hint="eastAsia" w:asciiTheme="minorEastAsia" w:hAnsiTheme="minorEastAsia"/>
                <w:kern w:val="0"/>
                <w:szCs w:val="21"/>
              </w:rPr>
              <w:t>1</w:t>
            </w:r>
          </w:p>
        </w:tc>
        <w:tc>
          <w:tcPr>
            <w:tcW w:w="4111" w:type="dxa"/>
          </w:tcPr>
          <w:p>
            <w:pPr>
              <w:rPr>
                <w:rFonts w:asciiTheme="minorEastAsia" w:hAnsiTheme="minorEastAsia"/>
                <w:kern w:val="0"/>
                <w:szCs w:val="21"/>
              </w:rPr>
            </w:pPr>
            <w:r>
              <w:rPr>
                <w:rFonts w:hint="eastAsia" w:asciiTheme="minorEastAsia" w:hAnsiTheme="minorEastAsia"/>
                <w:kern w:val="0"/>
                <w:szCs w:val="21"/>
              </w:rPr>
              <w:t>第六条  公司注册资本为人民币712,323,832元。</w:t>
            </w:r>
          </w:p>
        </w:tc>
        <w:tc>
          <w:tcPr>
            <w:tcW w:w="4252" w:type="dxa"/>
          </w:tcPr>
          <w:p>
            <w:pPr>
              <w:jc w:val="left"/>
              <w:rPr>
                <w:rFonts w:asciiTheme="minorEastAsia" w:hAnsiTheme="minorEastAsia"/>
                <w:kern w:val="0"/>
                <w:szCs w:val="21"/>
              </w:rPr>
            </w:pPr>
            <w:r>
              <w:rPr>
                <w:rFonts w:hint="eastAsia" w:asciiTheme="minorEastAsia" w:hAnsiTheme="minorEastAsia"/>
                <w:kern w:val="0"/>
                <w:szCs w:val="21"/>
              </w:rPr>
              <w:t>第六条  公司注册资本为人民币</w:t>
            </w:r>
            <w:r>
              <w:rPr>
                <w:rFonts w:hint="eastAsia" w:asciiTheme="minorEastAsia" w:hAnsiTheme="minorEastAsia"/>
                <w:b/>
                <w:bCs/>
                <w:kern w:val="0"/>
                <w:szCs w:val="21"/>
              </w:rPr>
              <w:t>712,285,832</w:t>
            </w:r>
            <w:r>
              <w:rPr>
                <w:rFonts w:hint="eastAsia" w:asciiTheme="minorEastAsia" w:hAnsiTheme="minorEastAsia"/>
                <w:kern w:val="0"/>
                <w:szCs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vAlign w:val="center"/>
          </w:tcPr>
          <w:p>
            <w:pPr>
              <w:jc w:val="center"/>
              <w:rPr>
                <w:rFonts w:asciiTheme="minorEastAsia" w:hAnsiTheme="minorEastAsia"/>
                <w:kern w:val="0"/>
                <w:szCs w:val="21"/>
              </w:rPr>
            </w:pPr>
            <w:r>
              <w:rPr>
                <w:rFonts w:hint="eastAsia" w:asciiTheme="minorEastAsia" w:hAnsiTheme="minorEastAsia"/>
                <w:kern w:val="0"/>
                <w:szCs w:val="21"/>
              </w:rPr>
              <w:t>2</w:t>
            </w:r>
          </w:p>
        </w:tc>
        <w:tc>
          <w:tcPr>
            <w:tcW w:w="4111" w:type="dxa"/>
          </w:tcPr>
          <w:p>
            <w:pPr>
              <w:rPr>
                <w:rFonts w:asciiTheme="minorEastAsia" w:hAnsiTheme="minorEastAsia"/>
                <w:kern w:val="0"/>
                <w:szCs w:val="21"/>
              </w:rPr>
            </w:pPr>
            <w:r>
              <w:rPr>
                <w:rFonts w:hint="eastAsia" w:asciiTheme="minorEastAsia" w:hAnsiTheme="minorEastAsia"/>
                <w:kern w:val="0"/>
                <w:szCs w:val="21"/>
              </w:rPr>
              <w:t>第十九条  公司股份总数为712,323,832股，公司的股本结构为：普通股712,323,832股。</w:t>
            </w:r>
          </w:p>
        </w:tc>
        <w:tc>
          <w:tcPr>
            <w:tcW w:w="4252" w:type="dxa"/>
          </w:tcPr>
          <w:p>
            <w:pPr>
              <w:rPr>
                <w:rFonts w:asciiTheme="minorEastAsia" w:hAnsiTheme="minorEastAsia"/>
                <w:kern w:val="0"/>
                <w:szCs w:val="21"/>
              </w:rPr>
            </w:pPr>
            <w:r>
              <w:rPr>
                <w:rFonts w:hint="eastAsia" w:asciiTheme="minorEastAsia" w:hAnsiTheme="minorEastAsia"/>
                <w:kern w:val="0"/>
                <w:szCs w:val="21"/>
              </w:rPr>
              <w:t>第十九条  公司股份总数为</w:t>
            </w:r>
            <w:r>
              <w:rPr>
                <w:rFonts w:hint="eastAsia" w:asciiTheme="minorEastAsia" w:hAnsiTheme="minorEastAsia"/>
                <w:b/>
                <w:bCs/>
                <w:kern w:val="0"/>
                <w:szCs w:val="21"/>
              </w:rPr>
              <w:t>712,285,832</w:t>
            </w:r>
            <w:r>
              <w:rPr>
                <w:rFonts w:hint="eastAsia" w:asciiTheme="minorEastAsia" w:hAnsiTheme="minorEastAsia"/>
                <w:kern w:val="0"/>
                <w:szCs w:val="21"/>
              </w:rPr>
              <w:t>股，公司的股本结构为：普通股</w:t>
            </w:r>
            <w:r>
              <w:rPr>
                <w:rFonts w:hint="eastAsia" w:asciiTheme="minorEastAsia" w:hAnsiTheme="minorEastAsia"/>
                <w:b/>
                <w:bCs/>
                <w:kern w:val="0"/>
                <w:szCs w:val="21"/>
              </w:rPr>
              <w:t>712,285,832</w:t>
            </w:r>
            <w:r>
              <w:rPr>
                <w:rFonts w:hint="eastAsia" w:asciiTheme="minorEastAsia" w:hAnsiTheme="minorEastAsia"/>
                <w:kern w:val="0"/>
                <w:szCs w:val="21"/>
              </w:rPr>
              <w:t>股。</w:t>
            </w:r>
          </w:p>
        </w:tc>
      </w:tr>
    </w:tbl>
    <w:p>
      <w:pPr>
        <w:spacing w:line="360" w:lineRule="auto"/>
        <w:rPr>
          <w:rFonts w:asciiTheme="minorEastAsia" w:hAnsiTheme="minorEastAsia"/>
          <w:b/>
          <w:sz w:val="24"/>
        </w:rPr>
      </w:pPr>
    </w:p>
    <w:p>
      <w:pPr>
        <w:spacing w:line="360" w:lineRule="auto"/>
        <w:rPr>
          <w:rFonts w:asciiTheme="minorEastAsia" w:hAnsiTheme="minorEastAsia" w:eastAsiaTheme="minorEastAsia"/>
          <w:sz w:val="24"/>
        </w:rPr>
      </w:pPr>
      <w:r>
        <w:rPr>
          <w:rFonts w:hint="eastAsia" w:asciiTheme="minorEastAsia" w:hAnsiTheme="minorEastAsia" w:eastAsiaTheme="minorEastAsia"/>
          <w:b/>
          <w:sz w:val="24"/>
        </w:rPr>
        <w:t xml:space="preserve">    三、其他事项说明及风险提示</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公司本次修订《公司章程》，符合《中华人民共和国公司法》《中华人民共和国证券法》等相关法律法规的规定，符合公司的实际情况，不存在损害公司及股东特别是中小股东利益的情形。</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公司本次拟变更公司注册资本及修改《公司章程》事项尚须公司股东大会审议通过，审议通过后须向市场监督管理部门办理变更登记与备案，最终以登记机关变更登记的册资本及《公司章程》为准，上述事项尚存在不确定性，敬请投资者注意风险。</w:t>
      </w:r>
    </w:p>
    <w:p>
      <w:pPr>
        <w:spacing w:line="360" w:lineRule="auto"/>
        <w:rPr>
          <w:rFonts w:asciiTheme="minorEastAsia" w:hAnsiTheme="minorEastAsia" w:eastAsiaTheme="minorEastAsia"/>
          <w:sz w:val="24"/>
        </w:rPr>
      </w:pPr>
      <w:r>
        <w:rPr>
          <w:rFonts w:hint="eastAsia" w:asciiTheme="minorEastAsia" w:hAnsiTheme="minorEastAsia" w:eastAsiaTheme="minorEastAsia"/>
          <w:sz w:val="24"/>
        </w:rPr>
        <w:t xml:space="preserve">   </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ascii="宋体" w:hAnsi="宋体"/>
          <w:sz w:val="24"/>
        </w:rPr>
        <w:t>特此公告</w:t>
      </w:r>
      <w:r>
        <w:rPr>
          <w:rFonts w:hint="eastAsia" w:ascii="宋体" w:hAnsi="宋体"/>
          <w:sz w:val="24"/>
        </w:rPr>
        <w:t>。</w:t>
      </w:r>
    </w:p>
    <w:p>
      <w:pPr>
        <w:spacing w:line="360" w:lineRule="auto"/>
        <w:ind w:right="120" w:firstLine="480" w:firstLineChars="200"/>
        <w:jc w:val="left"/>
        <w:rPr>
          <w:rFonts w:ascii="宋体" w:hAnsi="宋体"/>
          <w:sz w:val="24"/>
        </w:rPr>
      </w:pPr>
    </w:p>
    <w:p>
      <w:pPr>
        <w:spacing w:line="360" w:lineRule="auto"/>
        <w:ind w:firstLine="4320" w:firstLineChars="1800"/>
        <w:jc w:val="right"/>
        <w:rPr>
          <w:rFonts w:ascii="宋体" w:hAnsi="宋体"/>
          <w:sz w:val="24"/>
        </w:rPr>
      </w:pPr>
      <w:r>
        <w:rPr>
          <w:rFonts w:hint="eastAsia" w:ascii="宋体" w:hAnsi="宋体"/>
          <w:sz w:val="24"/>
        </w:rPr>
        <w:t>江苏吴中医药发展股份有限公司</w:t>
      </w:r>
    </w:p>
    <w:p>
      <w:pPr>
        <w:spacing w:line="360" w:lineRule="auto"/>
        <w:ind w:right="720" w:firstLine="4320" w:firstLineChars="1800"/>
        <w:jc w:val="right"/>
        <w:rPr>
          <w:rFonts w:ascii="宋体" w:hAnsi="宋体"/>
          <w:sz w:val="24"/>
        </w:rPr>
      </w:pPr>
      <w:r>
        <w:rPr>
          <w:rFonts w:hint="eastAsia" w:ascii="宋体" w:hAnsi="宋体"/>
          <w:sz w:val="24"/>
        </w:rPr>
        <w:t xml:space="preserve">董事会      </w:t>
      </w:r>
    </w:p>
    <w:p>
      <w:pPr>
        <w:spacing w:line="360" w:lineRule="auto"/>
        <w:ind w:firstLine="5220" w:firstLineChars="2175"/>
        <w:jc w:val="right"/>
        <w:rPr>
          <w:rFonts w:asciiTheme="minorEastAsia" w:hAnsiTheme="minorEastAsia" w:eastAsiaTheme="minorEastAsia"/>
          <w:sz w:val="24"/>
        </w:rPr>
      </w:pPr>
      <w:r>
        <w:rPr>
          <w:rFonts w:hint="eastAsia" w:ascii="宋体" w:hAnsi="宋体"/>
          <w:sz w:val="24"/>
        </w:rPr>
        <w:t>2023年4月27日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74E7E9"/>
    <w:multiLevelType w:val="singleLevel"/>
    <w:tmpl w:val="FF74E7E9"/>
    <w:lvl w:ilvl="0" w:tentative="0">
      <w:start w:val="1"/>
      <w:numFmt w:val="bullet"/>
      <w:lvlText w:val=""/>
      <w:lvlJc w:val="left"/>
      <w:pPr>
        <w:ind w:left="42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JiNjFmNzExYjIxOGZkYmIzZDZjMzU4MDM2MDNkODEifQ=="/>
  </w:docVars>
  <w:rsids>
    <w:rsidRoot w:val="007D321D"/>
    <w:rsid w:val="000052DC"/>
    <w:rsid w:val="0001153F"/>
    <w:rsid w:val="00015559"/>
    <w:rsid w:val="0003171D"/>
    <w:rsid w:val="00034EAF"/>
    <w:rsid w:val="00036C14"/>
    <w:rsid w:val="000377FA"/>
    <w:rsid w:val="000514F9"/>
    <w:rsid w:val="0006496C"/>
    <w:rsid w:val="00064E05"/>
    <w:rsid w:val="0007113B"/>
    <w:rsid w:val="00077985"/>
    <w:rsid w:val="000A02F1"/>
    <w:rsid w:val="000C1284"/>
    <w:rsid w:val="000C1EBF"/>
    <w:rsid w:val="000D5160"/>
    <w:rsid w:val="000D59A8"/>
    <w:rsid w:val="000E5928"/>
    <w:rsid w:val="001044FC"/>
    <w:rsid w:val="00115DE0"/>
    <w:rsid w:val="00125BE8"/>
    <w:rsid w:val="00125EB5"/>
    <w:rsid w:val="001302DF"/>
    <w:rsid w:val="00141A30"/>
    <w:rsid w:val="0014235B"/>
    <w:rsid w:val="001449C0"/>
    <w:rsid w:val="00151157"/>
    <w:rsid w:val="00163205"/>
    <w:rsid w:val="00167B35"/>
    <w:rsid w:val="001741A0"/>
    <w:rsid w:val="00184711"/>
    <w:rsid w:val="00190F6C"/>
    <w:rsid w:val="001A6F91"/>
    <w:rsid w:val="001C16DA"/>
    <w:rsid w:val="001D198B"/>
    <w:rsid w:val="001E13AC"/>
    <w:rsid w:val="001E49FF"/>
    <w:rsid w:val="001F698F"/>
    <w:rsid w:val="00201E57"/>
    <w:rsid w:val="002101B8"/>
    <w:rsid w:val="00227A64"/>
    <w:rsid w:val="002343EA"/>
    <w:rsid w:val="002442A3"/>
    <w:rsid w:val="00251C73"/>
    <w:rsid w:val="002522AC"/>
    <w:rsid w:val="00256018"/>
    <w:rsid w:val="0025726D"/>
    <w:rsid w:val="0025795B"/>
    <w:rsid w:val="00266464"/>
    <w:rsid w:val="00270486"/>
    <w:rsid w:val="0027220C"/>
    <w:rsid w:val="002808AB"/>
    <w:rsid w:val="00284CD2"/>
    <w:rsid w:val="002A574B"/>
    <w:rsid w:val="002B5713"/>
    <w:rsid w:val="002B7CCB"/>
    <w:rsid w:val="002C71E7"/>
    <w:rsid w:val="002D2369"/>
    <w:rsid w:val="002D4C8C"/>
    <w:rsid w:val="002F64AF"/>
    <w:rsid w:val="002F74DC"/>
    <w:rsid w:val="00324EB8"/>
    <w:rsid w:val="003307ED"/>
    <w:rsid w:val="003334F6"/>
    <w:rsid w:val="003402E8"/>
    <w:rsid w:val="00353BA1"/>
    <w:rsid w:val="00360937"/>
    <w:rsid w:val="0037324C"/>
    <w:rsid w:val="00373349"/>
    <w:rsid w:val="0038210C"/>
    <w:rsid w:val="003870CC"/>
    <w:rsid w:val="003B1D84"/>
    <w:rsid w:val="003B5345"/>
    <w:rsid w:val="003C607D"/>
    <w:rsid w:val="003C6B60"/>
    <w:rsid w:val="003D0C3B"/>
    <w:rsid w:val="003D3FFF"/>
    <w:rsid w:val="003D798A"/>
    <w:rsid w:val="003E2FD2"/>
    <w:rsid w:val="003E355B"/>
    <w:rsid w:val="0041720E"/>
    <w:rsid w:val="0042410C"/>
    <w:rsid w:val="00441A6C"/>
    <w:rsid w:val="00444265"/>
    <w:rsid w:val="004502F4"/>
    <w:rsid w:val="00475AC0"/>
    <w:rsid w:val="00496E8A"/>
    <w:rsid w:val="004A41EF"/>
    <w:rsid w:val="004B70B1"/>
    <w:rsid w:val="004C0C76"/>
    <w:rsid w:val="004C27B9"/>
    <w:rsid w:val="004C3DB4"/>
    <w:rsid w:val="004D2BA0"/>
    <w:rsid w:val="004E363D"/>
    <w:rsid w:val="004F1243"/>
    <w:rsid w:val="004F1ED6"/>
    <w:rsid w:val="004F1F15"/>
    <w:rsid w:val="004F65E5"/>
    <w:rsid w:val="005014D1"/>
    <w:rsid w:val="0052613E"/>
    <w:rsid w:val="0054211F"/>
    <w:rsid w:val="00542DA0"/>
    <w:rsid w:val="0054311D"/>
    <w:rsid w:val="005477DA"/>
    <w:rsid w:val="00555131"/>
    <w:rsid w:val="00557690"/>
    <w:rsid w:val="005712CB"/>
    <w:rsid w:val="005737FA"/>
    <w:rsid w:val="00577CBB"/>
    <w:rsid w:val="00580E39"/>
    <w:rsid w:val="00591636"/>
    <w:rsid w:val="005B4F18"/>
    <w:rsid w:val="005C30C3"/>
    <w:rsid w:val="005C3668"/>
    <w:rsid w:val="005D417A"/>
    <w:rsid w:val="005D4ACB"/>
    <w:rsid w:val="005D5EDA"/>
    <w:rsid w:val="005E4AFF"/>
    <w:rsid w:val="00606509"/>
    <w:rsid w:val="00615D49"/>
    <w:rsid w:val="006412D7"/>
    <w:rsid w:val="006446F0"/>
    <w:rsid w:val="00645C77"/>
    <w:rsid w:val="00662769"/>
    <w:rsid w:val="00663516"/>
    <w:rsid w:val="0067327D"/>
    <w:rsid w:val="00682D83"/>
    <w:rsid w:val="00683AED"/>
    <w:rsid w:val="0069424B"/>
    <w:rsid w:val="00695D72"/>
    <w:rsid w:val="006A4EA1"/>
    <w:rsid w:val="006B21DA"/>
    <w:rsid w:val="006B29CA"/>
    <w:rsid w:val="006B2B65"/>
    <w:rsid w:val="006B7491"/>
    <w:rsid w:val="006C1D25"/>
    <w:rsid w:val="006E12CC"/>
    <w:rsid w:val="007001F0"/>
    <w:rsid w:val="007014FC"/>
    <w:rsid w:val="0075060C"/>
    <w:rsid w:val="007564B5"/>
    <w:rsid w:val="0076676A"/>
    <w:rsid w:val="00766EEB"/>
    <w:rsid w:val="00772A33"/>
    <w:rsid w:val="0078609E"/>
    <w:rsid w:val="007918EE"/>
    <w:rsid w:val="007A1575"/>
    <w:rsid w:val="007C79A9"/>
    <w:rsid w:val="007C7BAF"/>
    <w:rsid w:val="007D321D"/>
    <w:rsid w:val="007E3476"/>
    <w:rsid w:val="00802A0A"/>
    <w:rsid w:val="00803816"/>
    <w:rsid w:val="00824AB0"/>
    <w:rsid w:val="008378DC"/>
    <w:rsid w:val="008412C9"/>
    <w:rsid w:val="00857BD0"/>
    <w:rsid w:val="00887DA0"/>
    <w:rsid w:val="00893296"/>
    <w:rsid w:val="008935D4"/>
    <w:rsid w:val="008A72B1"/>
    <w:rsid w:val="008B3703"/>
    <w:rsid w:val="008B43ED"/>
    <w:rsid w:val="008B4735"/>
    <w:rsid w:val="008C0E07"/>
    <w:rsid w:val="008E57CC"/>
    <w:rsid w:val="008F5155"/>
    <w:rsid w:val="008F6AB5"/>
    <w:rsid w:val="00933FA5"/>
    <w:rsid w:val="00934104"/>
    <w:rsid w:val="0094672C"/>
    <w:rsid w:val="009549B8"/>
    <w:rsid w:val="00955A3F"/>
    <w:rsid w:val="009572E5"/>
    <w:rsid w:val="00960430"/>
    <w:rsid w:val="00962A3D"/>
    <w:rsid w:val="00967AA4"/>
    <w:rsid w:val="00995DC5"/>
    <w:rsid w:val="009966D3"/>
    <w:rsid w:val="009C0CBE"/>
    <w:rsid w:val="009D7FDE"/>
    <w:rsid w:val="009E1FA0"/>
    <w:rsid w:val="009E3014"/>
    <w:rsid w:val="009F0BB3"/>
    <w:rsid w:val="00A05A16"/>
    <w:rsid w:val="00A1341B"/>
    <w:rsid w:val="00A13AC5"/>
    <w:rsid w:val="00A1423D"/>
    <w:rsid w:val="00A204FB"/>
    <w:rsid w:val="00A206E4"/>
    <w:rsid w:val="00A267F9"/>
    <w:rsid w:val="00A31603"/>
    <w:rsid w:val="00A36051"/>
    <w:rsid w:val="00A37C3C"/>
    <w:rsid w:val="00A42891"/>
    <w:rsid w:val="00A51FF0"/>
    <w:rsid w:val="00A72475"/>
    <w:rsid w:val="00A842DF"/>
    <w:rsid w:val="00A950B9"/>
    <w:rsid w:val="00A973BC"/>
    <w:rsid w:val="00AA10D4"/>
    <w:rsid w:val="00AA706B"/>
    <w:rsid w:val="00AB15F8"/>
    <w:rsid w:val="00AB2664"/>
    <w:rsid w:val="00AB53AC"/>
    <w:rsid w:val="00AB6C97"/>
    <w:rsid w:val="00AC11D0"/>
    <w:rsid w:val="00AC7ABF"/>
    <w:rsid w:val="00AD0003"/>
    <w:rsid w:val="00AF45BF"/>
    <w:rsid w:val="00AF476E"/>
    <w:rsid w:val="00B03668"/>
    <w:rsid w:val="00B07E79"/>
    <w:rsid w:val="00B2286A"/>
    <w:rsid w:val="00B27494"/>
    <w:rsid w:val="00B31A8D"/>
    <w:rsid w:val="00B369BE"/>
    <w:rsid w:val="00B40795"/>
    <w:rsid w:val="00B52013"/>
    <w:rsid w:val="00B57C2F"/>
    <w:rsid w:val="00B83EF8"/>
    <w:rsid w:val="00B87AB6"/>
    <w:rsid w:val="00BA46C7"/>
    <w:rsid w:val="00BB5C59"/>
    <w:rsid w:val="00BB5E17"/>
    <w:rsid w:val="00BB5F62"/>
    <w:rsid w:val="00BC7D27"/>
    <w:rsid w:val="00BD11D0"/>
    <w:rsid w:val="00BE7989"/>
    <w:rsid w:val="00BF5380"/>
    <w:rsid w:val="00BF68F7"/>
    <w:rsid w:val="00C01D90"/>
    <w:rsid w:val="00C1036D"/>
    <w:rsid w:val="00C14435"/>
    <w:rsid w:val="00C442D1"/>
    <w:rsid w:val="00C5715D"/>
    <w:rsid w:val="00C62BAA"/>
    <w:rsid w:val="00C65924"/>
    <w:rsid w:val="00C66833"/>
    <w:rsid w:val="00C6792D"/>
    <w:rsid w:val="00C71DAA"/>
    <w:rsid w:val="00C745A9"/>
    <w:rsid w:val="00C770B6"/>
    <w:rsid w:val="00C77455"/>
    <w:rsid w:val="00C8098E"/>
    <w:rsid w:val="00C8490D"/>
    <w:rsid w:val="00C84E9B"/>
    <w:rsid w:val="00CA1004"/>
    <w:rsid w:val="00CA3560"/>
    <w:rsid w:val="00CB2DCE"/>
    <w:rsid w:val="00CC65AD"/>
    <w:rsid w:val="00CC7C0B"/>
    <w:rsid w:val="00CD2A4D"/>
    <w:rsid w:val="00CD5891"/>
    <w:rsid w:val="00CD607E"/>
    <w:rsid w:val="00CD6EAB"/>
    <w:rsid w:val="00CE4D8A"/>
    <w:rsid w:val="00CF2676"/>
    <w:rsid w:val="00CF42BE"/>
    <w:rsid w:val="00CF7E7A"/>
    <w:rsid w:val="00D04CBB"/>
    <w:rsid w:val="00D05E2F"/>
    <w:rsid w:val="00D141A5"/>
    <w:rsid w:val="00D21B8D"/>
    <w:rsid w:val="00D26D15"/>
    <w:rsid w:val="00D3212E"/>
    <w:rsid w:val="00D3404D"/>
    <w:rsid w:val="00D45281"/>
    <w:rsid w:val="00D53DC4"/>
    <w:rsid w:val="00D601FE"/>
    <w:rsid w:val="00D6753A"/>
    <w:rsid w:val="00D7040A"/>
    <w:rsid w:val="00D71559"/>
    <w:rsid w:val="00D73864"/>
    <w:rsid w:val="00D77523"/>
    <w:rsid w:val="00D85D7E"/>
    <w:rsid w:val="00D86A2F"/>
    <w:rsid w:val="00D909E7"/>
    <w:rsid w:val="00D90BC6"/>
    <w:rsid w:val="00D92B06"/>
    <w:rsid w:val="00DC0757"/>
    <w:rsid w:val="00DD409A"/>
    <w:rsid w:val="00DE24B3"/>
    <w:rsid w:val="00DE3893"/>
    <w:rsid w:val="00DF08C9"/>
    <w:rsid w:val="00E003D0"/>
    <w:rsid w:val="00E025CD"/>
    <w:rsid w:val="00E05034"/>
    <w:rsid w:val="00E220DE"/>
    <w:rsid w:val="00E22FF1"/>
    <w:rsid w:val="00E24402"/>
    <w:rsid w:val="00E26F68"/>
    <w:rsid w:val="00E31233"/>
    <w:rsid w:val="00E373CB"/>
    <w:rsid w:val="00E649B4"/>
    <w:rsid w:val="00E74755"/>
    <w:rsid w:val="00E74E4D"/>
    <w:rsid w:val="00E77D37"/>
    <w:rsid w:val="00E90C0B"/>
    <w:rsid w:val="00E9529E"/>
    <w:rsid w:val="00E96761"/>
    <w:rsid w:val="00E97D76"/>
    <w:rsid w:val="00E97E93"/>
    <w:rsid w:val="00EA6444"/>
    <w:rsid w:val="00EB0FB2"/>
    <w:rsid w:val="00EB21BE"/>
    <w:rsid w:val="00EB7FBA"/>
    <w:rsid w:val="00ED4428"/>
    <w:rsid w:val="00EF67AA"/>
    <w:rsid w:val="00F03FA2"/>
    <w:rsid w:val="00F07A0E"/>
    <w:rsid w:val="00F11687"/>
    <w:rsid w:val="00F13C59"/>
    <w:rsid w:val="00F161EE"/>
    <w:rsid w:val="00F168FB"/>
    <w:rsid w:val="00F21312"/>
    <w:rsid w:val="00F23D77"/>
    <w:rsid w:val="00F25681"/>
    <w:rsid w:val="00F41B3B"/>
    <w:rsid w:val="00F43502"/>
    <w:rsid w:val="00F642E6"/>
    <w:rsid w:val="00F75621"/>
    <w:rsid w:val="00F75B8D"/>
    <w:rsid w:val="00F7601B"/>
    <w:rsid w:val="00F80230"/>
    <w:rsid w:val="00F84401"/>
    <w:rsid w:val="00F92A30"/>
    <w:rsid w:val="00FA5496"/>
    <w:rsid w:val="00FB56C5"/>
    <w:rsid w:val="00FB79DD"/>
    <w:rsid w:val="00FD17D4"/>
    <w:rsid w:val="00FD212D"/>
    <w:rsid w:val="00FE4FBE"/>
    <w:rsid w:val="00FE57F0"/>
    <w:rsid w:val="00FE5ACA"/>
    <w:rsid w:val="00FF141D"/>
    <w:rsid w:val="00FF4417"/>
    <w:rsid w:val="04B01274"/>
    <w:rsid w:val="06F3181D"/>
    <w:rsid w:val="09975029"/>
    <w:rsid w:val="0A0A147D"/>
    <w:rsid w:val="12F17558"/>
    <w:rsid w:val="1B4B380B"/>
    <w:rsid w:val="267B7513"/>
    <w:rsid w:val="30EC0D80"/>
    <w:rsid w:val="39E906DA"/>
    <w:rsid w:val="407F6492"/>
    <w:rsid w:val="40CB5639"/>
    <w:rsid w:val="45D37713"/>
    <w:rsid w:val="47084F2D"/>
    <w:rsid w:val="49CF4D25"/>
    <w:rsid w:val="4C656B98"/>
    <w:rsid w:val="4E7E3A1F"/>
    <w:rsid w:val="56EC7E3B"/>
    <w:rsid w:val="5B266C40"/>
    <w:rsid w:val="5B661732"/>
    <w:rsid w:val="5E4D3880"/>
    <w:rsid w:val="66567F7A"/>
    <w:rsid w:val="68B64F0A"/>
    <w:rsid w:val="6B563571"/>
    <w:rsid w:val="6CBF0CA2"/>
    <w:rsid w:val="72BA43E6"/>
    <w:rsid w:val="72EA4FCD"/>
    <w:rsid w:val="757F1030"/>
    <w:rsid w:val="77C25E55"/>
    <w:rsid w:val="78615304"/>
    <w:rsid w:val="7AE567B0"/>
    <w:rsid w:val="7BD366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8">
    <w:name w:val="页眉 字符"/>
    <w:basedOn w:val="6"/>
    <w:link w:val="3"/>
    <w:qFormat/>
    <w:uiPriority w:val="99"/>
    <w:rPr>
      <w:kern w:val="2"/>
      <w:sz w:val="18"/>
      <w:szCs w:val="18"/>
    </w:rPr>
  </w:style>
  <w:style w:type="character" w:customStyle="1" w:styleId="9">
    <w:name w:val="页脚 字符"/>
    <w:basedOn w:val="6"/>
    <w:link w:val="2"/>
    <w:uiPriority w:val="99"/>
    <w:rPr>
      <w:kern w:val="2"/>
      <w:sz w:val="18"/>
      <w:szCs w:val="18"/>
    </w:rPr>
  </w:style>
  <w:style w:type="paragraph" w:customStyle="1" w:styleId="10">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889</Words>
  <Characters>1020</Characters>
  <Lines>7</Lines>
  <Paragraphs>2</Paragraphs>
  <TotalTime>17</TotalTime>
  <ScaleCrop>false</ScaleCrop>
  <LinksUpToDate>false</LinksUpToDate>
  <CharactersWithSpaces>1060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2021-01-09T02:55:00Z</dcterms:created>
  <dc:creator>李锐</dc:creator>
  <cp:lastModifiedBy>王雅杰</cp:lastModifiedBy>
  <dcterms:modified xsi:type="dcterms:W3CDTF">2023-04-26T06:07:46Z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4897BEF7E5F6402480785C83B76E6B19</vt:lpwstr>
  </property>
</Properties>
</file>