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53" w:rightChars="-73"/>
        <w:jc w:val="center"/>
        <w:rPr>
          <w:rFonts w:hint="default" w:ascii="黑体" w:hAnsi="宋体" w:eastAsia="黑体"/>
          <w:b/>
          <w:bCs/>
          <w:color w:val="FF0000"/>
          <w:sz w:val="32"/>
          <w:lang w:val="en-US"/>
        </w:rPr>
      </w:pPr>
      <w:r>
        <w:rPr>
          <w:rFonts w:hint="eastAsia" w:ascii="宋体" w:hAnsi="宋体" w:cs="宋体"/>
          <w:color w:val="000000"/>
          <w:kern w:val="0"/>
          <w:sz w:val="24"/>
        </w:rPr>
        <w:t>证券代码：600200         证券简称：江苏吴中      公告编号：临2</w:t>
      </w:r>
      <w:r>
        <w:rPr>
          <w:rFonts w:hint="eastAsia" w:ascii="宋体" w:hAnsi="宋体" w:cs="宋体"/>
          <w:color w:val="000000"/>
          <w:kern w:val="0"/>
          <w:sz w:val="24"/>
          <w:highlight w:val="none"/>
        </w:rPr>
        <w:t>02</w:t>
      </w:r>
      <w:r>
        <w:rPr>
          <w:rFonts w:hint="eastAsia" w:ascii="宋体" w:hAnsi="宋体" w:cs="宋体"/>
          <w:color w:val="000000"/>
          <w:kern w:val="0"/>
          <w:sz w:val="24"/>
          <w:highlight w:val="none"/>
          <w:lang w:val="en-US" w:eastAsia="zh-CN"/>
        </w:rPr>
        <w:t>2</w:t>
      </w:r>
      <w:r>
        <w:rPr>
          <w:rFonts w:hint="eastAsia" w:ascii="宋体" w:hAnsi="宋体" w:cs="宋体"/>
          <w:color w:val="000000"/>
          <w:kern w:val="0"/>
          <w:sz w:val="24"/>
          <w:highlight w:val="none"/>
        </w:rPr>
        <w:t>-</w:t>
      </w:r>
      <w:r>
        <w:rPr>
          <w:rFonts w:hint="eastAsia" w:ascii="宋体" w:hAnsi="宋体" w:cs="宋体"/>
          <w:color w:val="000000"/>
          <w:kern w:val="0"/>
          <w:sz w:val="24"/>
          <w:highlight w:val="none"/>
          <w:lang w:val="en-US" w:eastAsia="zh-CN"/>
        </w:rPr>
        <w:t>060</w:t>
      </w:r>
    </w:p>
    <w:p>
      <w:pPr>
        <w:spacing w:line="360" w:lineRule="auto"/>
        <w:ind w:right="-153" w:rightChars="-73"/>
        <w:jc w:val="center"/>
        <w:rPr>
          <w:rFonts w:hint="eastAsia" w:ascii="黑体" w:hAnsi="宋体" w:eastAsia="黑体"/>
          <w:b/>
          <w:bCs/>
          <w:color w:val="FF0000"/>
          <w:sz w:val="32"/>
        </w:rPr>
      </w:pPr>
    </w:p>
    <w:p>
      <w:pPr>
        <w:spacing w:line="360" w:lineRule="auto"/>
        <w:ind w:right="-153" w:rightChars="-73"/>
        <w:jc w:val="center"/>
        <w:rPr>
          <w:rFonts w:hint="eastAsia" w:ascii="黑体" w:hAnsi="宋体" w:eastAsia="黑体"/>
          <w:b/>
          <w:bCs/>
          <w:color w:val="FF0000"/>
          <w:sz w:val="32"/>
        </w:rPr>
      </w:pPr>
      <w:r>
        <w:rPr>
          <w:rFonts w:hint="eastAsia" w:ascii="黑体" w:hAnsi="宋体" w:eastAsia="黑体"/>
          <w:b/>
          <w:bCs/>
          <w:color w:val="FF0000"/>
          <w:sz w:val="32"/>
        </w:rPr>
        <w:t>江苏吴中医药发展股份有限公司关于拟</w:t>
      </w:r>
    </w:p>
    <w:p>
      <w:pPr>
        <w:spacing w:line="360" w:lineRule="auto"/>
        <w:ind w:right="-153" w:rightChars="-73"/>
        <w:jc w:val="center"/>
        <w:rPr>
          <w:rFonts w:hint="eastAsia" w:ascii="黑体" w:hAnsi="宋体" w:eastAsia="黑体"/>
          <w:b/>
          <w:bCs/>
          <w:color w:val="FF0000"/>
          <w:sz w:val="32"/>
        </w:rPr>
      </w:pPr>
      <w:r>
        <w:rPr>
          <w:rFonts w:hint="eastAsia" w:ascii="黑体" w:hAnsi="宋体" w:eastAsia="黑体"/>
          <w:b/>
          <w:bCs/>
          <w:color w:val="FF0000"/>
          <w:sz w:val="32"/>
        </w:rPr>
        <w:t>变更公司注册资本、经营范围及修订《公司章程》的公告</w:t>
      </w:r>
    </w:p>
    <w:p>
      <w:pPr>
        <w:autoSpaceDE w:val="0"/>
        <w:autoSpaceDN w:val="0"/>
        <w:adjustRightInd w:val="0"/>
        <w:spacing w:line="360" w:lineRule="auto"/>
        <w:ind w:firstLine="482" w:firstLineChars="200"/>
        <w:rPr>
          <w:rFonts w:hint="eastAsia" w:ascii="ˎ̥" w:hAnsi="ˎ̥"/>
          <w:b/>
          <w:sz w:val="24"/>
        </w:rPr>
      </w:pPr>
    </w:p>
    <w:p>
      <w:pPr>
        <w:autoSpaceDE w:val="0"/>
        <w:autoSpaceDN w:val="0"/>
        <w:adjustRightInd w:val="0"/>
        <w:spacing w:line="360" w:lineRule="auto"/>
        <w:ind w:firstLine="482" w:firstLineChars="200"/>
        <w:rPr>
          <w:rFonts w:hint="eastAsia" w:ascii="ˎ̥" w:hAnsi="ˎ̥"/>
          <w:b/>
          <w:sz w:val="24"/>
        </w:rPr>
      </w:pPr>
      <w:r>
        <w:rPr>
          <w:rFonts w:hint="eastAsia" w:ascii="ˎ̥" w:hAnsi="ˎ̥"/>
          <w:b/>
          <w:sz w:val="24"/>
        </w:rPr>
        <w:t>本公司董事会及董事会全体成员保证公告内容不存在虚假记载、误导性陈述或者重大遗漏，</w:t>
      </w:r>
      <w:r>
        <w:rPr>
          <w:rFonts w:hint="eastAsia" w:asciiTheme="minorEastAsia" w:hAnsiTheme="minorEastAsia" w:eastAsiaTheme="minorEastAsia" w:cstheme="minorEastAsia"/>
          <w:b/>
          <w:sz w:val="24"/>
        </w:rPr>
        <w:t>并对其内容的真实、准确和完整承担法律责任</w:t>
      </w:r>
      <w:r>
        <w:rPr>
          <w:rFonts w:hint="eastAsia" w:ascii="ˎ̥" w:hAnsi="ˎ̥"/>
          <w:b/>
          <w:sz w:val="24"/>
        </w:rPr>
        <w:t>。</w:t>
      </w:r>
    </w:p>
    <w:p>
      <w:pPr>
        <w:spacing w:line="360" w:lineRule="auto"/>
        <w:rPr>
          <w:rFonts w:ascii="宋体" w:cs="宋体"/>
          <w:color w:val="000000"/>
          <w:kern w:val="0"/>
          <w:sz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b/>
          <w:bCs/>
          <w:sz w:val="24"/>
        </w:rPr>
      </w:pPr>
      <w:r>
        <w:rPr>
          <w:rFonts w:hint="eastAsia" w:ascii="宋体" w:hAnsi="宋体"/>
          <w:b/>
          <w:bCs/>
          <w:sz w:val="24"/>
        </w:rPr>
        <w:t>重要内容提示：</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20" w:firstLineChars="0"/>
        <w:textAlignment w:val="auto"/>
        <w:rPr>
          <w:rFonts w:hint="eastAsia" w:ascii="宋体" w:hAnsi="宋体"/>
          <w:sz w:val="24"/>
        </w:rPr>
      </w:pPr>
      <w:r>
        <w:rPr>
          <w:rFonts w:hint="eastAsia" w:ascii="宋体" w:hAnsi="宋体"/>
          <w:sz w:val="24"/>
        </w:rPr>
        <w:t xml:space="preserve">该事项尚须向市场监督管理部门办理变更登记与备案，最终以登记机关变更登记的公司名称、经营范围及《公司章程》为准。   </w:t>
      </w:r>
    </w:p>
    <w:p>
      <w:pPr>
        <w:spacing w:line="360" w:lineRule="auto"/>
        <w:rPr>
          <w:rFonts w:hint="eastAsia" w:ascii="宋体" w:hAnsi="宋体"/>
          <w:sz w:val="24"/>
        </w:rPr>
      </w:pPr>
      <w:r>
        <w:rPr>
          <w:rFonts w:hint="eastAsia" w:ascii="宋体" w:hAnsi="宋体"/>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rPr>
      </w:pPr>
      <w:r>
        <w:rPr>
          <w:rFonts w:hint="eastAsia" w:ascii="宋体" w:hAnsi="宋体"/>
          <w:sz w:val="24"/>
        </w:rPr>
        <w:t>202</w:t>
      </w:r>
      <w:r>
        <w:rPr>
          <w:rFonts w:hint="eastAsia" w:ascii="宋体" w:hAnsi="宋体"/>
          <w:sz w:val="24"/>
          <w:lang w:val="en-US" w:eastAsia="zh-CN"/>
        </w:rPr>
        <w:t>2</w:t>
      </w:r>
      <w:r>
        <w:rPr>
          <w:rFonts w:hint="eastAsia" w:ascii="宋体" w:hAnsi="宋体"/>
          <w:sz w:val="24"/>
        </w:rPr>
        <w:t>年</w:t>
      </w:r>
      <w:r>
        <w:rPr>
          <w:rFonts w:hint="eastAsia" w:ascii="宋体" w:hAnsi="宋体"/>
          <w:sz w:val="24"/>
          <w:lang w:val="en-US" w:eastAsia="zh-CN"/>
        </w:rPr>
        <w:t>10</w:t>
      </w:r>
      <w:r>
        <w:rPr>
          <w:rFonts w:hint="eastAsia" w:ascii="宋体" w:hAnsi="宋体"/>
          <w:sz w:val="24"/>
        </w:rPr>
        <w:t>月</w:t>
      </w:r>
      <w:r>
        <w:rPr>
          <w:rFonts w:hint="eastAsia" w:ascii="宋体" w:hAnsi="宋体"/>
          <w:sz w:val="24"/>
          <w:lang w:val="en-US" w:eastAsia="zh-CN"/>
        </w:rPr>
        <w:t>28</w:t>
      </w:r>
      <w:r>
        <w:rPr>
          <w:rFonts w:hint="eastAsia" w:ascii="宋体" w:hAnsi="宋体"/>
          <w:sz w:val="24"/>
        </w:rPr>
        <w:t>日，江苏吴中</w:t>
      </w:r>
      <w:r>
        <w:rPr>
          <w:rFonts w:hint="eastAsia" w:ascii="宋体" w:hAnsi="宋体"/>
          <w:sz w:val="24"/>
          <w:lang w:val="en-US" w:eastAsia="zh-CN"/>
        </w:rPr>
        <w:t>医药发展</w:t>
      </w:r>
      <w:r>
        <w:rPr>
          <w:rFonts w:hint="eastAsia" w:ascii="宋体" w:hAnsi="宋体"/>
          <w:sz w:val="24"/>
        </w:rPr>
        <w:t>股份有限公司（以下简称“公司”）召开第</w:t>
      </w:r>
      <w:r>
        <w:rPr>
          <w:rFonts w:hint="eastAsia" w:ascii="宋体" w:hAnsi="宋体"/>
          <w:sz w:val="24"/>
          <w:lang w:val="en-US" w:eastAsia="zh-CN"/>
        </w:rPr>
        <w:t>十</w:t>
      </w:r>
      <w:r>
        <w:rPr>
          <w:rFonts w:hint="eastAsia" w:ascii="宋体" w:hAnsi="宋体"/>
          <w:sz w:val="24"/>
        </w:rPr>
        <w:t>届董事会</w:t>
      </w:r>
      <w:r>
        <w:rPr>
          <w:rFonts w:hint="eastAsia" w:ascii="宋体" w:hAnsi="宋体"/>
          <w:sz w:val="24"/>
          <w:lang w:val="en-US" w:eastAsia="zh-CN"/>
        </w:rPr>
        <w:t>第六次会议</w:t>
      </w:r>
      <w:r>
        <w:rPr>
          <w:rFonts w:hint="eastAsia" w:ascii="宋体" w:hAnsi="宋体"/>
          <w:sz w:val="24"/>
        </w:rPr>
        <w:t>（通讯表决），审议通过了《江苏吴中医药发展股份有限公司关于拟变更公司注册资本的议案》《江苏吴中医药发展股份有限公司关于拟变更公司经营范围的议案》《江苏吴中医药发展股份有限公司关于拟修改</w:t>
      </w:r>
      <w:r>
        <w:rPr>
          <w:rFonts w:hint="eastAsia" w:ascii="宋体" w:hAnsi="宋体"/>
          <w:sz w:val="24"/>
          <w:lang w:val="en-US" w:eastAsia="zh-CN"/>
        </w:rPr>
        <w:t>&lt;</w:t>
      </w:r>
      <w:r>
        <w:rPr>
          <w:rFonts w:hint="eastAsia" w:ascii="宋体" w:hAnsi="宋体"/>
          <w:sz w:val="24"/>
        </w:rPr>
        <w:t>公司章程</w:t>
      </w:r>
      <w:r>
        <w:rPr>
          <w:rFonts w:hint="eastAsia" w:ascii="宋体" w:hAnsi="宋体"/>
          <w:sz w:val="24"/>
          <w:lang w:val="en-US" w:eastAsia="zh-CN"/>
        </w:rPr>
        <w:t>&gt;</w:t>
      </w:r>
      <w:r>
        <w:rPr>
          <w:rFonts w:hint="eastAsia" w:ascii="宋体" w:hAnsi="宋体"/>
          <w:sz w:val="24"/>
        </w:rPr>
        <w:t>部分条款的议案》,上述议案尚须提交公司股东大会审议通过。具体情况如下：</w:t>
      </w:r>
    </w:p>
    <w:p>
      <w:pPr>
        <w:spacing w:line="360" w:lineRule="auto"/>
        <w:ind w:firstLine="482" w:firstLineChars="200"/>
        <w:rPr>
          <w:rFonts w:ascii="宋体" w:hAnsi="宋体"/>
          <w:b/>
          <w:sz w:val="24"/>
        </w:rPr>
      </w:pPr>
      <w:r>
        <w:rPr>
          <w:rFonts w:hint="eastAsia" w:ascii="宋体" w:hAnsi="宋体"/>
          <w:b/>
          <w:sz w:val="24"/>
        </w:rPr>
        <w:t>一、注册资本变更情况</w:t>
      </w:r>
    </w:p>
    <w:p>
      <w:pPr>
        <w:spacing w:line="360" w:lineRule="auto"/>
        <w:ind w:firstLine="480" w:firstLineChars="200"/>
        <w:rPr>
          <w:rFonts w:hint="eastAsia" w:ascii="宋体" w:hAnsi="宋体"/>
          <w:b w:val="0"/>
          <w:bCs/>
          <w:sz w:val="24"/>
        </w:rPr>
      </w:pPr>
      <w:r>
        <w:rPr>
          <w:rFonts w:hint="eastAsia" w:ascii="宋体" w:hAnsi="宋体"/>
          <w:b w:val="0"/>
          <w:bCs/>
          <w:sz w:val="24"/>
          <w:lang w:eastAsia="zh-CN"/>
        </w:rPr>
        <w:t>（</w:t>
      </w:r>
      <w:r>
        <w:rPr>
          <w:rFonts w:hint="eastAsia" w:ascii="宋体" w:hAnsi="宋体"/>
          <w:b w:val="0"/>
          <w:bCs/>
          <w:sz w:val="24"/>
          <w:lang w:val="en-US" w:eastAsia="zh-CN"/>
        </w:rPr>
        <w:t>1</w:t>
      </w:r>
      <w:r>
        <w:rPr>
          <w:rFonts w:hint="eastAsia" w:ascii="宋体" w:hAnsi="宋体"/>
          <w:b w:val="0"/>
          <w:bCs/>
          <w:sz w:val="24"/>
          <w:lang w:eastAsia="zh-CN"/>
        </w:rPr>
        <w:t>）</w:t>
      </w:r>
      <w:r>
        <w:rPr>
          <w:rFonts w:hint="eastAsia" w:ascii="宋体" w:hAnsi="宋体"/>
          <w:b w:val="0"/>
          <w:bCs/>
          <w:sz w:val="24"/>
        </w:rPr>
        <w:t>鉴于2021年限制性股票激励计划中4名首次授予激励对象已离职，根据公司《2021年限制性股票激励计划（草案）》的相关规定，</w:t>
      </w:r>
      <w:r>
        <w:rPr>
          <w:rFonts w:hint="eastAsia" w:ascii="宋体" w:hAnsi="宋体"/>
          <w:b w:val="0"/>
          <w:bCs/>
          <w:sz w:val="24"/>
          <w:lang w:eastAsia="zh-CN"/>
        </w:rPr>
        <w:t>经公司第十届董事会第六次会议（通讯表决）和第十届监事会第六次会议（通讯表决）审议通过，</w:t>
      </w:r>
      <w:r>
        <w:rPr>
          <w:rFonts w:hint="eastAsia" w:ascii="宋体" w:hAnsi="宋体"/>
          <w:b w:val="0"/>
          <w:bCs/>
          <w:sz w:val="24"/>
        </w:rPr>
        <w:t>公司对</w:t>
      </w:r>
      <w:r>
        <w:rPr>
          <w:rFonts w:hint="eastAsia" w:ascii="宋体" w:hAnsi="宋体"/>
          <w:b w:val="0"/>
          <w:bCs/>
          <w:sz w:val="24"/>
          <w:lang w:val="en-US" w:eastAsia="zh-CN"/>
        </w:rPr>
        <w:t>4名</w:t>
      </w:r>
      <w:r>
        <w:rPr>
          <w:rFonts w:hint="eastAsia" w:ascii="宋体" w:hAnsi="宋体"/>
          <w:b w:val="0"/>
          <w:bCs/>
          <w:sz w:val="24"/>
        </w:rPr>
        <w:t>激励对象已获授但尚未解除限售的50,000股限制性股票进行回购注销。</w:t>
      </w:r>
    </w:p>
    <w:p>
      <w:pPr>
        <w:numPr>
          <w:ilvl w:val="0"/>
          <w:numId w:val="2"/>
        </w:numPr>
        <w:spacing w:line="360" w:lineRule="auto"/>
        <w:ind w:firstLine="480" w:firstLineChars="200"/>
        <w:rPr>
          <w:rFonts w:hint="eastAsia" w:ascii="宋体" w:hAnsi="宋体"/>
          <w:b w:val="0"/>
          <w:bCs/>
          <w:sz w:val="24"/>
          <w:lang w:eastAsia="zh-CN"/>
        </w:rPr>
      </w:pPr>
      <w:r>
        <w:rPr>
          <w:rFonts w:hint="eastAsia" w:ascii="宋体" w:hAnsi="宋体"/>
          <w:b w:val="0"/>
          <w:bCs/>
          <w:sz w:val="24"/>
          <w:lang w:eastAsia="zh-CN"/>
        </w:rPr>
        <w:t>根据《公司法》《证券法》《上海证券交易所上市公司自律监管指引第 7 号——回购股份》的有关规定，公司回购计划未予以实施的股份应当在发布回购结果公告后三年内依法予以注销。鉴于</w:t>
      </w:r>
      <w:r>
        <w:rPr>
          <w:rFonts w:hint="eastAsia" w:asciiTheme="minorEastAsia" w:hAnsiTheme="minorEastAsia" w:eastAsiaTheme="minorEastAsia" w:cstheme="minorEastAsia"/>
          <w:sz w:val="24"/>
          <w:szCs w:val="24"/>
          <w:lang w:val="en-US" w:eastAsia="zh-CN"/>
        </w:rPr>
        <w:t>回购</w:t>
      </w:r>
      <w:bookmarkStart w:id="0" w:name="_GoBack"/>
      <w:bookmarkEnd w:id="0"/>
      <w:r>
        <w:rPr>
          <w:rFonts w:hint="eastAsia" w:asciiTheme="minorEastAsia" w:hAnsiTheme="minorEastAsia" w:eastAsiaTheme="minorEastAsia" w:cstheme="minorEastAsia"/>
          <w:sz w:val="24"/>
          <w:szCs w:val="24"/>
          <w:lang w:val="en-US" w:eastAsia="zh-CN"/>
        </w:rPr>
        <w:t>期限即将届满，</w:t>
      </w:r>
      <w:r>
        <w:rPr>
          <w:rFonts w:hint="eastAsia" w:ascii="宋体" w:hAnsi="宋体"/>
          <w:b w:val="0"/>
          <w:bCs/>
          <w:sz w:val="24"/>
          <w:lang w:eastAsia="zh-CN"/>
        </w:rPr>
        <w:t>且公司尚无使用回购专用证券账户股份的具体计划，经公司第十届董事会第六次会议（通讯表决）和第十届监事会第六次会议（通讯表决）审议通过，公司拟注销回购专用证券账户中三年持有期限即将届满的15,000股公司股份。</w:t>
      </w:r>
    </w:p>
    <w:p>
      <w:pPr>
        <w:spacing w:line="360" w:lineRule="auto"/>
        <w:ind w:firstLine="480" w:firstLineChars="200"/>
        <w:rPr>
          <w:rFonts w:hint="eastAsia" w:ascii="宋体" w:hAnsi="宋体"/>
          <w:b/>
          <w:sz w:val="24"/>
          <w:lang w:eastAsia="zh-CN"/>
        </w:rPr>
      </w:pPr>
      <w:r>
        <w:rPr>
          <w:rFonts w:hint="eastAsia" w:ascii="宋体" w:hAnsi="宋体"/>
          <w:b w:val="0"/>
          <w:bCs/>
          <w:sz w:val="24"/>
        </w:rPr>
        <w:t>本次股份回购注销完成后，公司股份总数将由</w:t>
      </w:r>
      <w:r>
        <w:rPr>
          <w:rFonts w:hint="eastAsia" w:ascii="宋体" w:hAnsi="宋体"/>
          <w:b w:val="0"/>
          <w:bCs/>
          <w:sz w:val="24"/>
          <w:lang w:val="en-US" w:eastAsia="zh-CN"/>
        </w:rPr>
        <w:t>712</w:t>
      </w:r>
      <w:r>
        <w:rPr>
          <w:rFonts w:hint="eastAsia" w:ascii="宋体" w:hAnsi="宋体"/>
          <w:b w:val="0"/>
          <w:bCs/>
          <w:sz w:val="24"/>
        </w:rPr>
        <w:t>,</w:t>
      </w:r>
      <w:r>
        <w:rPr>
          <w:rFonts w:hint="eastAsia" w:ascii="宋体" w:hAnsi="宋体"/>
          <w:b w:val="0"/>
          <w:bCs/>
          <w:sz w:val="24"/>
          <w:lang w:val="en-US" w:eastAsia="zh-CN"/>
        </w:rPr>
        <w:t>388</w:t>
      </w:r>
      <w:r>
        <w:rPr>
          <w:rFonts w:hint="eastAsia" w:ascii="宋体" w:hAnsi="宋体"/>
          <w:b w:val="0"/>
          <w:bCs/>
          <w:sz w:val="24"/>
        </w:rPr>
        <w:t>,</w:t>
      </w:r>
      <w:r>
        <w:rPr>
          <w:rFonts w:hint="eastAsia" w:ascii="宋体" w:hAnsi="宋体"/>
          <w:b w:val="0"/>
          <w:bCs/>
          <w:sz w:val="24"/>
          <w:lang w:val="en-US" w:eastAsia="zh-CN"/>
        </w:rPr>
        <w:t>832</w:t>
      </w:r>
      <w:r>
        <w:rPr>
          <w:rFonts w:hint="eastAsia" w:ascii="宋体" w:hAnsi="宋体"/>
          <w:b w:val="0"/>
          <w:bCs/>
          <w:sz w:val="24"/>
        </w:rPr>
        <w:t>股变更为</w:t>
      </w:r>
      <w:r>
        <w:rPr>
          <w:rFonts w:hint="eastAsia" w:ascii="宋体" w:hAnsi="宋体"/>
          <w:b w:val="0"/>
          <w:bCs/>
          <w:sz w:val="24"/>
          <w:lang w:val="en-US" w:eastAsia="zh-CN"/>
        </w:rPr>
        <w:t>712</w:t>
      </w:r>
      <w:r>
        <w:rPr>
          <w:rFonts w:hint="eastAsia" w:ascii="宋体" w:hAnsi="宋体"/>
          <w:b w:val="0"/>
          <w:bCs/>
          <w:sz w:val="24"/>
        </w:rPr>
        <w:t>,</w:t>
      </w:r>
      <w:r>
        <w:rPr>
          <w:rFonts w:hint="eastAsia" w:ascii="宋体" w:hAnsi="宋体"/>
          <w:b w:val="0"/>
          <w:bCs/>
          <w:sz w:val="24"/>
          <w:lang w:val="en-US" w:eastAsia="zh-CN"/>
        </w:rPr>
        <w:t>323</w:t>
      </w:r>
      <w:r>
        <w:rPr>
          <w:rFonts w:hint="eastAsia" w:ascii="宋体" w:hAnsi="宋体"/>
          <w:b w:val="0"/>
          <w:bCs/>
          <w:sz w:val="24"/>
        </w:rPr>
        <w:t>,</w:t>
      </w:r>
      <w:r>
        <w:rPr>
          <w:rFonts w:hint="eastAsia" w:ascii="宋体" w:hAnsi="宋体"/>
          <w:b w:val="0"/>
          <w:bCs/>
          <w:sz w:val="24"/>
          <w:lang w:val="en-US" w:eastAsia="zh-CN"/>
        </w:rPr>
        <w:t>832</w:t>
      </w:r>
      <w:r>
        <w:rPr>
          <w:rFonts w:hint="eastAsia" w:ascii="宋体" w:hAnsi="宋体"/>
          <w:b w:val="0"/>
          <w:bCs/>
          <w:sz w:val="24"/>
        </w:rPr>
        <w:t>股，公司注册资本将由人民币</w:t>
      </w:r>
      <w:r>
        <w:rPr>
          <w:rFonts w:hint="eastAsia" w:ascii="宋体" w:hAnsi="宋体"/>
          <w:b w:val="0"/>
          <w:bCs/>
          <w:sz w:val="24"/>
          <w:lang w:val="en-US" w:eastAsia="zh-CN"/>
        </w:rPr>
        <w:t>712</w:t>
      </w:r>
      <w:r>
        <w:rPr>
          <w:rFonts w:hint="eastAsia" w:ascii="宋体" w:hAnsi="宋体"/>
          <w:b w:val="0"/>
          <w:bCs/>
          <w:sz w:val="24"/>
        </w:rPr>
        <w:t>,</w:t>
      </w:r>
      <w:r>
        <w:rPr>
          <w:rFonts w:hint="eastAsia" w:ascii="宋体" w:hAnsi="宋体"/>
          <w:b w:val="0"/>
          <w:bCs/>
          <w:sz w:val="24"/>
          <w:lang w:val="en-US" w:eastAsia="zh-CN"/>
        </w:rPr>
        <w:t>388</w:t>
      </w:r>
      <w:r>
        <w:rPr>
          <w:rFonts w:hint="eastAsia" w:ascii="宋体" w:hAnsi="宋体"/>
          <w:b w:val="0"/>
          <w:bCs/>
          <w:sz w:val="24"/>
        </w:rPr>
        <w:t>,</w:t>
      </w:r>
      <w:r>
        <w:rPr>
          <w:rFonts w:hint="eastAsia" w:ascii="宋体" w:hAnsi="宋体"/>
          <w:b w:val="0"/>
          <w:bCs/>
          <w:sz w:val="24"/>
          <w:lang w:val="en-US" w:eastAsia="zh-CN"/>
        </w:rPr>
        <w:t>832</w:t>
      </w:r>
      <w:r>
        <w:rPr>
          <w:rFonts w:hint="eastAsia" w:ascii="宋体" w:hAnsi="宋体"/>
          <w:b w:val="0"/>
          <w:bCs/>
          <w:sz w:val="24"/>
        </w:rPr>
        <w:t>元变更为人民币712,3</w:t>
      </w:r>
      <w:r>
        <w:rPr>
          <w:rFonts w:hint="eastAsia" w:ascii="宋体" w:hAnsi="宋体"/>
          <w:b w:val="0"/>
          <w:bCs/>
          <w:sz w:val="24"/>
          <w:lang w:val="en-US" w:eastAsia="zh-CN"/>
        </w:rPr>
        <w:t>23</w:t>
      </w:r>
      <w:r>
        <w:rPr>
          <w:rFonts w:hint="eastAsia" w:ascii="宋体" w:hAnsi="宋体"/>
          <w:b w:val="0"/>
          <w:bCs/>
          <w:sz w:val="24"/>
        </w:rPr>
        <w:t>,832元。</w:t>
      </w:r>
    </w:p>
    <w:p>
      <w:pPr>
        <w:spacing w:line="360" w:lineRule="auto"/>
        <w:ind w:firstLine="482" w:firstLineChars="200"/>
        <w:rPr>
          <w:rFonts w:ascii="宋体" w:hAnsi="宋体"/>
          <w:b/>
          <w:sz w:val="24"/>
        </w:rPr>
      </w:pPr>
      <w:r>
        <w:rPr>
          <w:rFonts w:hint="eastAsia" w:ascii="宋体" w:hAnsi="宋体"/>
          <w:b/>
          <w:sz w:val="24"/>
        </w:rPr>
        <w:t>二、公司经营范围变更情况</w:t>
      </w:r>
    </w:p>
    <w:p>
      <w:pPr>
        <w:spacing w:line="360" w:lineRule="auto"/>
        <w:ind w:firstLine="482" w:firstLineChars="200"/>
        <w:rPr>
          <w:rFonts w:asciiTheme="minorEastAsia" w:hAnsiTheme="minorEastAsia" w:eastAsiaTheme="minorEastAsia"/>
          <w:sz w:val="24"/>
        </w:rPr>
      </w:pPr>
      <w:r>
        <w:rPr>
          <w:rFonts w:hint="eastAsia" w:asciiTheme="minorEastAsia" w:hAnsiTheme="minorEastAsia"/>
          <w:b/>
          <w:sz w:val="24"/>
        </w:rPr>
        <w:t>原经营范围：</w:t>
      </w:r>
      <w:r>
        <w:rPr>
          <w:rFonts w:hint="eastAsia" w:asciiTheme="minorEastAsia" w:hAnsiTheme="minorEastAsia" w:eastAsiaTheme="minorEastAsia"/>
          <w:sz w:val="24"/>
        </w:rPr>
        <w:t>许可项目：药品生产；药品委托生产；药品批发；药品零售；药品进出口；第二类医疗器械生产；第三类医疗器械生产；第三类医疗器械经营；进出口代理；货物进出口；医疗服务；医疗器械互联网信息服务；医疗美容服务（依法须经批准的项目，经相关部门批准后方可开展经营活动，具体经营项目以审批结果为准）</w:t>
      </w:r>
    </w:p>
    <w:p>
      <w:pPr>
        <w:spacing w:line="360" w:lineRule="auto"/>
        <w:ind w:firstLine="480" w:firstLineChars="200"/>
        <w:rPr>
          <w:rFonts w:hint="eastAsia" w:asciiTheme="minorEastAsia" w:hAnsiTheme="minorEastAsia"/>
          <w:b/>
          <w:sz w:val="24"/>
        </w:rPr>
      </w:pPr>
      <w:r>
        <w:rPr>
          <w:rFonts w:hint="eastAsia" w:asciiTheme="minorEastAsia" w:hAnsiTheme="minorEastAsia" w:eastAsiaTheme="minorEastAsia"/>
          <w:sz w:val="24"/>
        </w:rPr>
        <w:t>一般项目：医学研究和试验发展；技术服务、技术开发、技术咨询、技术交流、技术转让、技术推广；细胞技术研发和应用；生物化工产品技术研发；专用化学产品销售（不含危险化学品）；企业总部管理；第一类医疗器械生产；第一类医疗器械销售；第二类医疗器械销售；化妆品批发；化妆品零售；国内贸易代理；供应链管理服务；非居住房地产租赁；住房租赁（除依法须经批准的项目外，凭营业执照依法自主开展经营活动）</w:t>
      </w:r>
      <w:r>
        <w:rPr>
          <w:rFonts w:asciiTheme="minorEastAsia" w:hAnsiTheme="minorEastAsia" w:eastAsiaTheme="minorEastAsia"/>
          <w:sz w:val="24"/>
        </w:rPr>
        <w:t xml:space="preserve"> </w:t>
      </w:r>
    </w:p>
    <w:p>
      <w:pPr>
        <w:spacing w:line="360" w:lineRule="auto"/>
        <w:ind w:firstLine="482" w:firstLineChars="200"/>
        <w:rPr>
          <w:rFonts w:asciiTheme="minorEastAsia" w:hAnsiTheme="minorEastAsia" w:eastAsiaTheme="minorEastAsia"/>
          <w:sz w:val="24"/>
        </w:rPr>
      </w:pPr>
      <w:r>
        <w:rPr>
          <w:rFonts w:hint="eastAsia" w:asciiTheme="minorEastAsia" w:hAnsiTheme="minorEastAsia"/>
          <w:b/>
          <w:sz w:val="24"/>
        </w:rPr>
        <w:t>拟变更后经营范围：</w:t>
      </w:r>
      <w:r>
        <w:rPr>
          <w:rFonts w:hint="eastAsia" w:asciiTheme="minorEastAsia" w:hAnsiTheme="minorEastAsia" w:eastAsiaTheme="minorEastAsia"/>
          <w:sz w:val="24"/>
        </w:rPr>
        <w:t>许可项目：药品生产；药品委托生产；药品批发；药品零售；药品进出口；第二类医疗器械生产；第三类医疗器械生产；第三类医疗器械经营；进出口代理；货物进出口；医疗服务；医疗器械互联网信息服务；医疗美容服务（依法须经批准的项目，经相关部门批准后方可开展经营活动，具体经营项目以审批结果为准）</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般项目：医学研究和试验发展；技术服务、技术开发、技术咨询、技术交流、技术转让、技术推广；细胞技术研发和应用；生物化工产品技术研发；专用化学产品销售（不含危险化学品）；企业总部管理；第一类医疗器械生产；第一类医疗器械销售；第二类医疗器械销售；化妆品批发；化妆品零售；国内贸易代理；供应链管理服务；非居住房地产租赁；住房租赁</w:t>
      </w:r>
      <w:r>
        <w:rPr>
          <w:rFonts w:hint="eastAsia" w:asciiTheme="minorEastAsia" w:hAnsiTheme="minorEastAsia" w:eastAsiaTheme="minorEastAsia"/>
          <w:sz w:val="24"/>
          <w:lang w:eastAsia="zh-CN"/>
        </w:rPr>
        <w:t>；</w:t>
      </w:r>
      <w:r>
        <w:rPr>
          <w:rFonts w:hint="eastAsia" w:asciiTheme="minorEastAsia" w:hAnsiTheme="minorEastAsia" w:eastAsiaTheme="minorEastAsia"/>
          <w:b/>
          <w:bCs/>
          <w:sz w:val="24"/>
          <w:lang w:eastAsia="zh-CN"/>
        </w:rPr>
        <w:t>股权投资；以自有资金从事投资活动；自有资金投资的资产管理服务</w:t>
      </w:r>
      <w:r>
        <w:rPr>
          <w:rFonts w:hint="eastAsia" w:asciiTheme="minorEastAsia" w:hAnsiTheme="minorEastAsia" w:eastAsiaTheme="minorEastAsia"/>
          <w:sz w:val="24"/>
        </w:rPr>
        <w:t>（除依法须经批准的项目外，凭营业执照依法自主开展经营活动）</w:t>
      </w:r>
      <w:r>
        <w:rPr>
          <w:rFonts w:asciiTheme="minorEastAsia" w:hAnsiTheme="minorEastAsia" w:eastAsiaTheme="minorEastAsia"/>
          <w:sz w:val="24"/>
        </w:rPr>
        <w:t xml:space="preserve"> </w:t>
      </w:r>
    </w:p>
    <w:p>
      <w:pPr>
        <w:spacing w:line="360" w:lineRule="auto"/>
        <w:ind w:firstLine="482" w:firstLineChars="200"/>
        <w:rPr>
          <w:rFonts w:ascii="宋体" w:hAnsi="宋体"/>
          <w:b/>
          <w:sz w:val="24"/>
        </w:rPr>
      </w:pPr>
      <w:r>
        <w:rPr>
          <w:rFonts w:hint="eastAsia" w:ascii="宋体" w:hAnsi="宋体"/>
          <w:b/>
          <w:sz w:val="24"/>
        </w:rPr>
        <w:t>三、《公司章程》修改情况</w:t>
      </w:r>
    </w:p>
    <w:p>
      <w:pPr>
        <w:spacing w:line="360" w:lineRule="auto"/>
        <w:ind w:firstLine="480" w:firstLineChars="200"/>
        <w:rPr>
          <w:rFonts w:asciiTheme="minorEastAsia" w:hAnsiTheme="minorEastAsia"/>
          <w:sz w:val="24"/>
        </w:rPr>
      </w:pPr>
      <w:r>
        <w:rPr>
          <w:rFonts w:hint="eastAsia" w:asciiTheme="minorEastAsia" w:hAnsiTheme="minorEastAsia"/>
          <w:sz w:val="24"/>
        </w:rPr>
        <w:t>根据公司注册资本、经营范围变更情况，同时根据《上市公司章程指引（2022年修订）》《上海证券交易所股票上市规则（2022年1月修订）》等相关规定，并结合公司的实际情况及发展需要，公司拟对《公司章程》的相应条款进行修改。具体修改内容见下表：</w:t>
      </w:r>
    </w:p>
    <w:tbl>
      <w:tblPr>
        <w:tblStyle w:val="3"/>
        <w:tblW w:w="9073"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4111"/>
        <w:gridCol w:w="4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Pr>
          <w:p>
            <w:pPr>
              <w:spacing w:line="360" w:lineRule="auto"/>
              <w:jc w:val="center"/>
              <w:rPr>
                <w:rFonts w:asciiTheme="minorEastAsia" w:hAnsiTheme="minorEastAsia"/>
                <w:b/>
                <w:kern w:val="0"/>
                <w:sz w:val="21"/>
                <w:szCs w:val="21"/>
              </w:rPr>
            </w:pPr>
            <w:r>
              <w:rPr>
                <w:rFonts w:hint="eastAsia" w:asciiTheme="minorEastAsia" w:hAnsiTheme="minorEastAsia"/>
                <w:b/>
                <w:kern w:val="0"/>
                <w:sz w:val="21"/>
                <w:szCs w:val="21"/>
              </w:rPr>
              <w:t>序号</w:t>
            </w:r>
          </w:p>
        </w:tc>
        <w:tc>
          <w:tcPr>
            <w:tcW w:w="4111" w:type="dxa"/>
          </w:tcPr>
          <w:p>
            <w:pPr>
              <w:spacing w:line="360" w:lineRule="auto"/>
              <w:jc w:val="center"/>
              <w:rPr>
                <w:rFonts w:asciiTheme="minorEastAsia" w:hAnsiTheme="minorEastAsia"/>
                <w:b/>
                <w:kern w:val="0"/>
                <w:sz w:val="21"/>
                <w:szCs w:val="21"/>
              </w:rPr>
            </w:pPr>
            <w:r>
              <w:rPr>
                <w:rFonts w:hint="eastAsia" w:asciiTheme="minorEastAsia" w:hAnsiTheme="minorEastAsia"/>
                <w:b/>
                <w:kern w:val="0"/>
                <w:sz w:val="21"/>
                <w:szCs w:val="21"/>
              </w:rPr>
              <w:t>原条款为</w:t>
            </w:r>
          </w:p>
        </w:tc>
        <w:tc>
          <w:tcPr>
            <w:tcW w:w="4252" w:type="dxa"/>
          </w:tcPr>
          <w:p>
            <w:pPr>
              <w:spacing w:line="360" w:lineRule="auto"/>
              <w:jc w:val="center"/>
              <w:rPr>
                <w:rFonts w:asciiTheme="minorEastAsia" w:hAnsiTheme="minorEastAsia"/>
                <w:b/>
                <w:kern w:val="0"/>
                <w:sz w:val="21"/>
                <w:szCs w:val="21"/>
              </w:rPr>
            </w:pPr>
            <w:r>
              <w:rPr>
                <w:rFonts w:hint="eastAsia" w:asciiTheme="minorEastAsia" w:hAnsiTheme="minorEastAsia"/>
                <w:b/>
                <w:kern w:val="0"/>
                <w:sz w:val="21"/>
                <w:szCs w:val="21"/>
              </w:rPr>
              <w:t>拟修改为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pPr>
              <w:jc w:val="center"/>
              <w:rPr>
                <w:rFonts w:asciiTheme="minorEastAsia" w:hAnsiTheme="minorEastAsia"/>
                <w:kern w:val="0"/>
                <w:sz w:val="21"/>
                <w:szCs w:val="21"/>
              </w:rPr>
            </w:pPr>
            <w:r>
              <w:rPr>
                <w:rFonts w:hint="eastAsia" w:asciiTheme="minorEastAsia" w:hAnsiTheme="minorEastAsia"/>
                <w:kern w:val="0"/>
                <w:sz w:val="21"/>
                <w:szCs w:val="21"/>
              </w:rPr>
              <w:t>1</w:t>
            </w:r>
          </w:p>
        </w:tc>
        <w:tc>
          <w:tcPr>
            <w:tcW w:w="4111" w:type="dxa"/>
          </w:tcPr>
          <w:p>
            <w:pPr>
              <w:rPr>
                <w:rFonts w:asciiTheme="minorEastAsia" w:hAnsiTheme="minorEastAsia"/>
                <w:kern w:val="0"/>
                <w:sz w:val="21"/>
                <w:szCs w:val="21"/>
              </w:rPr>
            </w:pPr>
            <w:r>
              <w:rPr>
                <w:rFonts w:hint="eastAsia" w:asciiTheme="minorEastAsia" w:hAnsiTheme="minorEastAsia"/>
                <w:kern w:val="0"/>
                <w:sz w:val="21"/>
                <w:szCs w:val="21"/>
              </w:rPr>
              <w:t>第六条</w:t>
            </w:r>
            <w:r>
              <w:rPr>
                <w:rFonts w:hint="eastAsia" w:asciiTheme="minorEastAsia" w:hAnsiTheme="minorEastAsia"/>
                <w:kern w:val="0"/>
                <w:sz w:val="21"/>
                <w:szCs w:val="21"/>
                <w:lang w:val="en-US" w:eastAsia="zh-CN"/>
              </w:rPr>
              <w:t xml:space="preserve">  </w:t>
            </w:r>
            <w:r>
              <w:rPr>
                <w:rFonts w:hint="eastAsia" w:asciiTheme="minorEastAsia" w:hAnsiTheme="minorEastAsia"/>
                <w:kern w:val="0"/>
                <w:sz w:val="21"/>
                <w:szCs w:val="21"/>
              </w:rPr>
              <w:t>公司注册资本为人民币712,388,832元。</w:t>
            </w:r>
          </w:p>
        </w:tc>
        <w:tc>
          <w:tcPr>
            <w:tcW w:w="4252" w:type="dxa"/>
          </w:tcPr>
          <w:p>
            <w:pPr>
              <w:jc w:val="left"/>
              <w:rPr>
                <w:rFonts w:asciiTheme="minorEastAsia" w:hAnsiTheme="minorEastAsia"/>
                <w:kern w:val="0"/>
                <w:sz w:val="21"/>
                <w:szCs w:val="21"/>
              </w:rPr>
            </w:pPr>
            <w:r>
              <w:rPr>
                <w:rFonts w:hint="eastAsia" w:asciiTheme="minorEastAsia" w:hAnsiTheme="minorEastAsia"/>
                <w:kern w:val="0"/>
                <w:sz w:val="21"/>
                <w:szCs w:val="21"/>
              </w:rPr>
              <w:t>第六条</w:t>
            </w:r>
            <w:r>
              <w:rPr>
                <w:rFonts w:hint="eastAsia" w:asciiTheme="minorEastAsia" w:hAnsiTheme="minorEastAsia"/>
                <w:kern w:val="0"/>
                <w:sz w:val="21"/>
                <w:szCs w:val="21"/>
                <w:lang w:val="en-US" w:eastAsia="zh-CN"/>
              </w:rPr>
              <w:t xml:space="preserve">  </w:t>
            </w:r>
            <w:r>
              <w:rPr>
                <w:rFonts w:hint="eastAsia" w:asciiTheme="minorEastAsia" w:hAnsiTheme="minorEastAsia"/>
                <w:kern w:val="0"/>
                <w:sz w:val="21"/>
                <w:szCs w:val="21"/>
              </w:rPr>
              <w:t>公司注册资本为人民币</w:t>
            </w:r>
            <w:r>
              <w:rPr>
                <w:rFonts w:hint="eastAsia" w:asciiTheme="minorEastAsia" w:hAnsiTheme="minorEastAsia"/>
                <w:b/>
                <w:bCs/>
                <w:kern w:val="0"/>
                <w:sz w:val="21"/>
                <w:szCs w:val="21"/>
              </w:rPr>
              <w:t>712,323,832</w:t>
            </w:r>
            <w:r>
              <w:rPr>
                <w:rFonts w:hint="eastAsia" w:asciiTheme="minorEastAsia" w:hAnsiTheme="minorEastAsia"/>
                <w:kern w:val="0"/>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9" w:hRule="atLeast"/>
        </w:trPr>
        <w:tc>
          <w:tcPr>
            <w:tcW w:w="710" w:type="dxa"/>
            <w:vAlign w:val="center"/>
          </w:tcPr>
          <w:p>
            <w:pPr>
              <w:jc w:val="center"/>
              <w:rPr>
                <w:rFonts w:asciiTheme="minorEastAsia" w:hAnsiTheme="minorEastAsia"/>
                <w:kern w:val="0"/>
                <w:sz w:val="21"/>
                <w:szCs w:val="21"/>
              </w:rPr>
            </w:pPr>
            <w:r>
              <w:rPr>
                <w:rFonts w:hint="eastAsia" w:asciiTheme="minorEastAsia" w:hAnsiTheme="minorEastAsia"/>
                <w:kern w:val="0"/>
                <w:sz w:val="21"/>
                <w:szCs w:val="21"/>
              </w:rPr>
              <w:t>2</w:t>
            </w:r>
          </w:p>
        </w:tc>
        <w:tc>
          <w:tcPr>
            <w:tcW w:w="4111" w:type="dxa"/>
          </w:tcPr>
          <w:p>
            <w:pPr>
              <w:rPr>
                <w:rFonts w:hint="eastAsia" w:asciiTheme="minorEastAsia" w:hAnsiTheme="minorEastAsia"/>
                <w:kern w:val="0"/>
                <w:sz w:val="21"/>
                <w:szCs w:val="21"/>
              </w:rPr>
            </w:pPr>
            <w:r>
              <w:rPr>
                <w:rFonts w:hint="eastAsia" w:asciiTheme="minorEastAsia" w:hAnsiTheme="minorEastAsia"/>
                <w:kern w:val="0"/>
                <w:sz w:val="21"/>
                <w:szCs w:val="21"/>
              </w:rPr>
              <w:t>第十三条</w:t>
            </w:r>
            <w:r>
              <w:rPr>
                <w:rFonts w:hint="eastAsia" w:asciiTheme="minorEastAsia" w:hAnsiTheme="minorEastAsia"/>
                <w:kern w:val="0"/>
                <w:sz w:val="21"/>
                <w:szCs w:val="21"/>
                <w:lang w:val="en-US" w:eastAsia="zh-CN"/>
              </w:rPr>
              <w:t xml:space="preserve">  </w:t>
            </w:r>
            <w:r>
              <w:rPr>
                <w:rFonts w:hint="eastAsia" w:asciiTheme="minorEastAsia" w:hAnsiTheme="minorEastAsia"/>
                <w:kern w:val="0"/>
                <w:sz w:val="21"/>
                <w:szCs w:val="21"/>
              </w:rPr>
              <w:t>经依法登记，公司的经营范围：许可项目：药品生产；药品委托生产；药品批发；药品零售；药品进出口；第二类医疗器械生产；第三类医疗器械生产；第三类医疗器械经营；进出口代理；货物进出口；医疗服务；医疗器械互联网信息服务；医疗美容服务（依法须经批准的项目，经相关部门批准后方可开展经营活动，具体经营项目以审批结果为准）</w:t>
            </w:r>
          </w:p>
          <w:p>
            <w:pPr>
              <w:rPr>
                <w:rFonts w:asciiTheme="minorEastAsia" w:hAnsiTheme="minorEastAsia"/>
                <w:kern w:val="0"/>
                <w:sz w:val="21"/>
                <w:szCs w:val="21"/>
              </w:rPr>
            </w:pPr>
            <w:r>
              <w:rPr>
                <w:rFonts w:hint="eastAsia" w:asciiTheme="minorEastAsia" w:hAnsiTheme="minorEastAsia"/>
                <w:kern w:val="0"/>
                <w:sz w:val="21"/>
                <w:szCs w:val="21"/>
              </w:rPr>
              <w:t>一般项目：医学研究和试验发展；技术服务、技术开发、技术咨询、技术交流、技术转让、技术推广；细胞技术研发和应用；生物化工产品技术研发；专用化学产品销售（不含危险化学品）；企业总部管理；第一类医疗器械生产；第一类医疗器械销售；第二类医疗器械销售；化妆品批发；化妆品零售；国内贸易代理；供应链管理服务；非居住房地产租赁；住房租赁（除依法须经批准的项目外，凭营业执照依法自主开展经营活动）</w:t>
            </w:r>
          </w:p>
        </w:tc>
        <w:tc>
          <w:tcPr>
            <w:tcW w:w="4252" w:type="dxa"/>
          </w:tcPr>
          <w:p>
            <w:pPr>
              <w:rPr>
                <w:rFonts w:hint="eastAsia" w:asciiTheme="minorEastAsia" w:hAnsiTheme="minorEastAsia"/>
                <w:kern w:val="0"/>
                <w:sz w:val="21"/>
                <w:szCs w:val="21"/>
              </w:rPr>
            </w:pPr>
            <w:r>
              <w:rPr>
                <w:rFonts w:hint="eastAsia" w:asciiTheme="minorEastAsia" w:hAnsiTheme="minorEastAsia"/>
                <w:kern w:val="0"/>
                <w:sz w:val="21"/>
                <w:szCs w:val="21"/>
              </w:rPr>
              <w:t>第十三条</w:t>
            </w:r>
            <w:r>
              <w:rPr>
                <w:rFonts w:hint="eastAsia" w:asciiTheme="minorEastAsia" w:hAnsiTheme="minorEastAsia"/>
                <w:kern w:val="0"/>
                <w:sz w:val="21"/>
                <w:szCs w:val="21"/>
                <w:lang w:val="en-US" w:eastAsia="zh-CN"/>
              </w:rPr>
              <w:t xml:space="preserve">  </w:t>
            </w:r>
            <w:r>
              <w:rPr>
                <w:rFonts w:hint="eastAsia" w:asciiTheme="minorEastAsia" w:hAnsiTheme="minorEastAsia"/>
                <w:kern w:val="0"/>
                <w:sz w:val="21"/>
                <w:szCs w:val="21"/>
              </w:rPr>
              <w:t>经依法登记，公司的经营范围：许可项目：药品生产；药品委托生产；药品批发；药品零售；药品进出口；第二类医疗器械生产；第三类医疗器械生产；第三类医疗器械经营；进出口代理；货物进出口；医疗服务；医疗器械互联网信息服务；医疗美容服务（依法须经批准的项目，经相关部门批准后方可开展经营活动，具体经营项目以审批结果为准）</w:t>
            </w:r>
          </w:p>
          <w:p>
            <w:pPr>
              <w:rPr>
                <w:rFonts w:asciiTheme="minorEastAsia" w:hAnsiTheme="minorEastAsia"/>
                <w:kern w:val="0"/>
                <w:sz w:val="21"/>
                <w:szCs w:val="21"/>
              </w:rPr>
            </w:pPr>
            <w:r>
              <w:rPr>
                <w:rFonts w:hint="eastAsia" w:asciiTheme="minorEastAsia" w:hAnsiTheme="minorEastAsia"/>
                <w:kern w:val="0"/>
                <w:sz w:val="21"/>
                <w:szCs w:val="21"/>
              </w:rPr>
              <w:t>一般项目：医学研究和试验发展；技术服务、技术开发、技术咨询、技术交流、技术转让、技术推广；细胞技术研发和应用；生物化工产品技术研发；专用化学产品销售（不含危险化学品）；企业总部管理；第一类医疗器械生产；第一类医疗器械销售；第二类医疗器械销售；化妆品批发；化妆品零售；国内贸易代理；供应链管理服务；非居住房地产租赁；住房租赁；</w:t>
            </w:r>
            <w:r>
              <w:rPr>
                <w:rFonts w:hint="eastAsia" w:asciiTheme="minorEastAsia" w:hAnsiTheme="minorEastAsia"/>
                <w:b/>
                <w:bCs/>
                <w:kern w:val="0"/>
                <w:sz w:val="21"/>
                <w:szCs w:val="21"/>
              </w:rPr>
              <w:t>股权投资；以自有资金从事投资活动；自有资金投资的资产管理服务</w:t>
            </w:r>
            <w:r>
              <w:rPr>
                <w:rFonts w:hint="eastAsia" w:asciiTheme="minorEastAsia" w:hAnsiTheme="minorEastAsia"/>
                <w:kern w:val="0"/>
                <w:sz w:val="21"/>
                <w:szCs w:val="21"/>
              </w:rPr>
              <w:t>（除依法须经批准的项目外，凭营业执照依法自主开展经营活动）</w:t>
            </w:r>
            <w:r>
              <w:rPr>
                <w:rFonts w:asciiTheme="minorEastAsia" w:hAnsiTheme="minorEastAsia"/>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pPr>
              <w:jc w:val="center"/>
              <w:rPr>
                <w:rFonts w:asciiTheme="minorEastAsia" w:hAnsiTheme="minorEastAsia"/>
                <w:kern w:val="0"/>
                <w:sz w:val="21"/>
                <w:szCs w:val="21"/>
              </w:rPr>
            </w:pPr>
            <w:r>
              <w:rPr>
                <w:rFonts w:hint="eastAsia" w:asciiTheme="minorEastAsia" w:hAnsiTheme="minorEastAsia"/>
                <w:kern w:val="0"/>
                <w:sz w:val="21"/>
                <w:szCs w:val="21"/>
              </w:rPr>
              <w:t>3</w:t>
            </w:r>
          </w:p>
        </w:tc>
        <w:tc>
          <w:tcPr>
            <w:tcW w:w="4111" w:type="dxa"/>
          </w:tcPr>
          <w:p>
            <w:pPr>
              <w:rPr>
                <w:rFonts w:asciiTheme="minorEastAsia" w:hAnsiTheme="minorEastAsia"/>
                <w:kern w:val="0"/>
                <w:sz w:val="21"/>
                <w:szCs w:val="21"/>
              </w:rPr>
            </w:pPr>
            <w:r>
              <w:rPr>
                <w:rFonts w:hint="eastAsia" w:asciiTheme="minorEastAsia" w:hAnsiTheme="minorEastAsia"/>
                <w:kern w:val="0"/>
                <w:sz w:val="21"/>
                <w:szCs w:val="21"/>
              </w:rPr>
              <w:t>第十九条</w:t>
            </w:r>
            <w:r>
              <w:rPr>
                <w:rFonts w:hint="eastAsia" w:asciiTheme="minorEastAsia" w:hAnsiTheme="minorEastAsia"/>
                <w:kern w:val="0"/>
                <w:sz w:val="21"/>
                <w:szCs w:val="21"/>
                <w:lang w:val="en-US" w:eastAsia="zh-CN"/>
              </w:rPr>
              <w:t xml:space="preserve">  </w:t>
            </w:r>
            <w:r>
              <w:rPr>
                <w:rFonts w:hint="eastAsia" w:asciiTheme="minorEastAsia" w:hAnsiTheme="minorEastAsia"/>
                <w:kern w:val="0"/>
                <w:sz w:val="21"/>
                <w:szCs w:val="21"/>
              </w:rPr>
              <w:t>公司股份总数为712,388,832股，公司的股本结构为：普通股712,388,832股。</w:t>
            </w:r>
          </w:p>
        </w:tc>
        <w:tc>
          <w:tcPr>
            <w:tcW w:w="4252" w:type="dxa"/>
          </w:tcPr>
          <w:p>
            <w:pPr>
              <w:rPr>
                <w:rFonts w:asciiTheme="minorEastAsia" w:hAnsiTheme="minorEastAsia"/>
                <w:kern w:val="0"/>
                <w:sz w:val="21"/>
                <w:szCs w:val="21"/>
              </w:rPr>
            </w:pPr>
            <w:r>
              <w:rPr>
                <w:rFonts w:hint="eastAsia" w:asciiTheme="minorEastAsia" w:hAnsiTheme="minorEastAsia"/>
                <w:kern w:val="0"/>
                <w:sz w:val="21"/>
                <w:szCs w:val="21"/>
              </w:rPr>
              <w:t>第十九条</w:t>
            </w:r>
            <w:r>
              <w:rPr>
                <w:rFonts w:hint="eastAsia" w:asciiTheme="minorEastAsia" w:hAnsiTheme="minorEastAsia"/>
                <w:kern w:val="0"/>
                <w:sz w:val="21"/>
                <w:szCs w:val="21"/>
                <w:lang w:val="en-US" w:eastAsia="zh-CN"/>
              </w:rPr>
              <w:t xml:space="preserve">  </w:t>
            </w:r>
            <w:r>
              <w:rPr>
                <w:rFonts w:hint="eastAsia" w:asciiTheme="minorEastAsia" w:hAnsiTheme="minorEastAsia"/>
                <w:kern w:val="0"/>
                <w:sz w:val="21"/>
                <w:szCs w:val="21"/>
              </w:rPr>
              <w:t>公司股份总数为</w:t>
            </w:r>
            <w:r>
              <w:rPr>
                <w:rFonts w:hint="eastAsia" w:asciiTheme="minorEastAsia" w:hAnsiTheme="minorEastAsia"/>
                <w:b/>
                <w:bCs/>
                <w:kern w:val="0"/>
                <w:sz w:val="21"/>
                <w:szCs w:val="21"/>
              </w:rPr>
              <w:t>712,323,832</w:t>
            </w:r>
            <w:r>
              <w:rPr>
                <w:rFonts w:hint="eastAsia" w:asciiTheme="minorEastAsia" w:hAnsiTheme="minorEastAsia"/>
                <w:kern w:val="0"/>
                <w:sz w:val="21"/>
                <w:szCs w:val="21"/>
              </w:rPr>
              <w:t>股，公司的股本结构为：普通股</w:t>
            </w:r>
            <w:r>
              <w:rPr>
                <w:rFonts w:hint="eastAsia" w:asciiTheme="minorEastAsia" w:hAnsiTheme="minorEastAsia"/>
                <w:b/>
                <w:bCs/>
                <w:kern w:val="0"/>
                <w:sz w:val="21"/>
                <w:szCs w:val="21"/>
              </w:rPr>
              <w:t>712,323,832</w:t>
            </w:r>
            <w:r>
              <w:rPr>
                <w:rFonts w:hint="eastAsia" w:asciiTheme="minorEastAsia" w:hAnsiTheme="minorEastAsia"/>
                <w:kern w:val="0"/>
                <w:sz w:val="21"/>
                <w:szCs w:val="21"/>
              </w:rPr>
              <w:t>股。</w:t>
            </w:r>
          </w:p>
        </w:tc>
      </w:tr>
    </w:tbl>
    <w:p>
      <w:pPr>
        <w:spacing w:line="360" w:lineRule="auto"/>
        <w:rPr>
          <w:rFonts w:asciiTheme="minorEastAsia" w:hAnsiTheme="minorEastAsia"/>
          <w:b/>
          <w:sz w:val="24"/>
        </w:rPr>
      </w:pPr>
    </w:p>
    <w:p>
      <w:pPr>
        <w:spacing w:line="360" w:lineRule="auto"/>
        <w:rPr>
          <w:rFonts w:hint="eastAsia" w:asciiTheme="minorEastAsia" w:hAnsiTheme="minorEastAsia" w:eastAsiaTheme="minorEastAsia"/>
          <w:sz w:val="24"/>
        </w:rPr>
      </w:pPr>
      <w:r>
        <w:rPr>
          <w:rFonts w:hint="eastAsia" w:asciiTheme="minorEastAsia" w:hAnsiTheme="minorEastAsia" w:eastAsiaTheme="minorEastAsia"/>
          <w:b/>
          <w:sz w:val="24"/>
        </w:rPr>
        <w:t xml:space="preserve">    </w:t>
      </w:r>
      <w:r>
        <w:rPr>
          <w:rFonts w:hint="eastAsia" w:asciiTheme="minorEastAsia" w:hAnsiTheme="minorEastAsia" w:eastAsiaTheme="minorEastAsia"/>
          <w:b/>
          <w:sz w:val="24"/>
          <w:lang w:val="en-US" w:eastAsia="zh-CN"/>
        </w:rPr>
        <w:t>四</w:t>
      </w:r>
      <w:r>
        <w:rPr>
          <w:rFonts w:hint="eastAsia" w:asciiTheme="minorEastAsia" w:hAnsiTheme="minorEastAsia" w:eastAsiaTheme="minorEastAsia"/>
          <w:b/>
          <w:sz w:val="24"/>
        </w:rPr>
        <w:t>、其他事项说明及风险提示</w:t>
      </w:r>
    </w:p>
    <w:p>
      <w:pPr>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公司本次修订《公司章程》，符合《中华人民共和国公司法》《中华人民共和国证券法》等相关法律法规的规定，符合公司的实际情况，不存在损害公司及股东特别是中小股东利益的情形。</w:t>
      </w:r>
    </w:p>
    <w:p>
      <w:pPr>
        <w:spacing w:line="360" w:lineRule="auto"/>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公司本次拟变更公司注册资本、经营范围及修改《公司章程》事项尚须公司股东大会审议通过，审议通过后须向市场监督管理部门办理变更登记与备案，最终以登记机关变更登记的册资本、经营范围及《公司章程》为准，上述事项尚存在不确定性，敬请投资者注意风险。</w:t>
      </w:r>
    </w:p>
    <w:p>
      <w:pPr>
        <w:spacing w:line="360" w:lineRule="auto"/>
        <w:rPr>
          <w:rFonts w:asciiTheme="minorEastAsia" w:hAnsiTheme="minorEastAsia" w:eastAsiaTheme="minorEastAsia"/>
          <w:sz w:val="24"/>
        </w:rPr>
      </w:pPr>
      <w:r>
        <w:rPr>
          <w:rFonts w:hint="eastAsia" w:asciiTheme="minorEastAsia" w:hAnsiTheme="minorEastAsia" w:eastAsiaTheme="minorEastAsia"/>
          <w:sz w:val="24"/>
        </w:rPr>
        <w:t xml:space="preserve">   </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特此公告</w:t>
      </w:r>
      <w:r>
        <w:rPr>
          <w:rFonts w:hint="eastAsia" w:ascii="宋体" w:hAnsi="宋体"/>
          <w:sz w:val="24"/>
        </w:rPr>
        <w:t>。</w:t>
      </w:r>
    </w:p>
    <w:p>
      <w:pPr>
        <w:spacing w:line="360" w:lineRule="auto"/>
        <w:ind w:right="120" w:firstLine="480" w:firstLineChars="200"/>
        <w:jc w:val="left"/>
        <w:rPr>
          <w:rFonts w:ascii="宋体" w:hAnsi="宋体"/>
          <w:sz w:val="24"/>
        </w:rPr>
      </w:pPr>
    </w:p>
    <w:p>
      <w:pPr>
        <w:spacing w:line="360" w:lineRule="auto"/>
        <w:ind w:firstLine="4320" w:firstLineChars="1800"/>
        <w:jc w:val="right"/>
        <w:rPr>
          <w:rFonts w:ascii="宋体" w:hAnsi="宋体"/>
          <w:sz w:val="24"/>
        </w:rPr>
      </w:pPr>
      <w:r>
        <w:rPr>
          <w:rFonts w:hint="eastAsia" w:ascii="宋体" w:hAnsi="宋体"/>
          <w:sz w:val="24"/>
        </w:rPr>
        <w:t>江苏吴中</w:t>
      </w:r>
      <w:r>
        <w:rPr>
          <w:rFonts w:hint="eastAsia" w:ascii="宋体" w:hAnsi="宋体"/>
          <w:sz w:val="24"/>
          <w:lang w:val="en-US" w:eastAsia="zh-CN"/>
        </w:rPr>
        <w:t>医药发展</w:t>
      </w:r>
      <w:r>
        <w:rPr>
          <w:rFonts w:hint="eastAsia" w:ascii="宋体" w:hAnsi="宋体"/>
          <w:sz w:val="24"/>
        </w:rPr>
        <w:t>股份有限公司</w:t>
      </w:r>
    </w:p>
    <w:p>
      <w:pPr>
        <w:spacing w:line="360" w:lineRule="auto"/>
        <w:ind w:right="720" w:firstLine="4320" w:firstLineChars="1800"/>
        <w:jc w:val="right"/>
        <w:rPr>
          <w:rFonts w:ascii="宋体" w:hAnsi="宋体"/>
          <w:sz w:val="24"/>
        </w:rPr>
      </w:pPr>
      <w:r>
        <w:rPr>
          <w:rFonts w:hint="eastAsia" w:ascii="宋体" w:hAnsi="宋体"/>
          <w:sz w:val="24"/>
        </w:rPr>
        <w:t xml:space="preserve">董事会      </w:t>
      </w:r>
    </w:p>
    <w:p>
      <w:pPr>
        <w:spacing w:line="360" w:lineRule="auto"/>
        <w:ind w:firstLine="5220" w:firstLineChars="2175"/>
        <w:jc w:val="right"/>
        <w:rPr>
          <w:rFonts w:ascii="宋体" w:hAnsi="宋体"/>
          <w:sz w:val="24"/>
        </w:rPr>
      </w:pPr>
      <w:r>
        <w:rPr>
          <w:rFonts w:hint="eastAsia" w:ascii="宋体" w:hAnsi="宋体"/>
          <w:sz w:val="24"/>
        </w:rPr>
        <w:t>202</w:t>
      </w:r>
      <w:r>
        <w:rPr>
          <w:rFonts w:hint="eastAsia" w:ascii="宋体" w:hAnsi="宋体"/>
          <w:sz w:val="24"/>
          <w:lang w:val="en-US" w:eastAsia="zh-CN"/>
        </w:rPr>
        <w:t>2</w:t>
      </w:r>
      <w:r>
        <w:rPr>
          <w:rFonts w:hint="eastAsia" w:ascii="宋体" w:hAnsi="宋体"/>
          <w:sz w:val="24"/>
        </w:rPr>
        <w:t>年</w:t>
      </w:r>
      <w:r>
        <w:rPr>
          <w:rFonts w:hint="eastAsia" w:ascii="宋体" w:hAnsi="宋体"/>
          <w:sz w:val="24"/>
          <w:lang w:val="en-US" w:eastAsia="zh-CN"/>
        </w:rPr>
        <w:t>10</w:t>
      </w:r>
      <w:r>
        <w:rPr>
          <w:rFonts w:hint="eastAsia" w:ascii="宋体" w:hAnsi="宋体"/>
          <w:sz w:val="24"/>
        </w:rPr>
        <w:t>月</w:t>
      </w:r>
      <w:r>
        <w:rPr>
          <w:rFonts w:hint="eastAsia" w:ascii="宋体" w:hAnsi="宋体"/>
          <w:sz w:val="24"/>
          <w:lang w:val="en-US" w:eastAsia="zh-CN"/>
        </w:rPr>
        <w:t>29</w:t>
      </w:r>
      <w:r>
        <w:rPr>
          <w:rFonts w:hint="eastAsia" w:ascii="宋体" w:hAnsi="宋体"/>
          <w:sz w:val="24"/>
        </w:rPr>
        <w:t>日</w:t>
      </w:r>
    </w:p>
    <w:p>
      <w:pPr>
        <w:spacing w:line="360" w:lineRule="auto"/>
        <w:rPr>
          <w:rFonts w:ascii="宋体" w:hAnsi="宋体"/>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6E16A4"/>
    <w:multiLevelType w:val="singleLevel"/>
    <w:tmpl w:val="E26E16A4"/>
    <w:lvl w:ilvl="0" w:tentative="0">
      <w:start w:val="2"/>
      <w:numFmt w:val="decimal"/>
      <w:suff w:val="nothing"/>
      <w:lvlText w:val="（%1）"/>
      <w:lvlJc w:val="left"/>
    </w:lvl>
  </w:abstractNum>
  <w:abstractNum w:abstractNumId="1">
    <w:nsid w:val="FF74E7E9"/>
    <w:multiLevelType w:val="singleLevel"/>
    <w:tmpl w:val="FF74E7E9"/>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iNjFmNzExYjIxOGZkYmIzZDZjMzU4MDM2MDNkODEifQ=="/>
  </w:docVars>
  <w:rsids>
    <w:rsidRoot w:val="007D321D"/>
    <w:rsid w:val="000052DC"/>
    <w:rsid w:val="0001153F"/>
    <w:rsid w:val="00015559"/>
    <w:rsid w:val="0003171D"/>
    <w:rsid w:val="00034EAF"/>
    <w:rsid w:val="000377FA"/>
    <w:rsid w:val="000514F9"/>
    <w:rsid w:val="0006496C"/>
    <w:rsid w:val="0007113B"/>
    <w:rsid w:val="00077985"/>
    <w:rsid w:val="000A02F1"/>
    <w:rsid w:val="000C1284"/>
    <w:rsid w:val="000C1EBF"/>
    <w:rsid w:val="000D5160"/>
    <w:rsid w:val="000D59A8"/>
    <w:rsid w:val="000E5928"/>
    <w:rsid w:val="001044FC"/>
    <w:rsid w:val="00115DE0"/>
    <w:rsid w:val="00125BE8"/>
    <w:rsid w:val="00125EB5"/>
    <w:rsid w:val="001302DF"/>
    <w:rsid w:val="00141A30"/>
    <w:rsid w:val="0014235B"/>
    <w:rsid w:val="001449C0"/>
    <w:rsid w:val="00151157"/>
    <w:rsid w:val="00163205"/>
    <w:rsid w:val="00167B35"/>
    <w:rsid w:val="001741A0"/>
    <w:rsid w:val="00184711"/>
    <w:rsid w:val="00190F6C"/>
    <w:rsid w:val="001A6F91"/>
    <w:rsid w:val="001C16DA"/>
    <w:rsid w:val="001D198B"/>
    <w:rsid w:val="001E13AC"/>
    <w:rsid w:val="001E49FF"/>
    <w:rsid w:val="001F698F"/>
    <w:rsid w:val="00201E57"/>
    <w:rsid w:val="002101B8"/>
    <w:rsid w:val="00227A64"/>
    <w:rsid w:val="002343EA"/>
    <w:rsid w:val="002442A3"/>
    <w:rsid w:val="00251C73"/>
    <w:rsid w:val="002522AC"/>
    <w:rsid w:val="00256018"/>
    <w:rsid w:val="0025726D"/>
    <w:rsid w:val="0025795B"/>
    <w:rsid w:val="00266464"/>
    <w:rsid w:val="00270486"/>
    <w:rsid w:val="0027220C"/>
    <w:rsid w:val="002808AB"/>
    <w:rsid w:val="00284CD2"/>
    <w:rsid w:val="002A574B"/>
    <w:rsid w:val="002B5713"/>
    <w:rsid w:val="002B7CCB"/>
    <w:rsid w:val="002C71E7"/>
    <w:rsid w:val="002D2369"/>
    <w:rsid w:val="002D4C8C"/>
    <w:rsid w:val="002F64AF"/>
    <w:rsid w:val="002F74DC"/>
    <w:rsid w:val="00324EB8"/>
    <w:rsid w:val="003307ED"/>
    <w:rsid w:val="003334F6"/>
    <w:rsid w:val="003402E8"/>
    <w:rsid w:val="00353BA1"/>
    <w:rsid w:val="00360937"/>
    <w:rsid w:val="0037324C"/>
    <w:rsid w:val="00373349"/>
    <w:rsid w:val="0038210C"/>
    <w:rsid w:val="003870CC"/>
    <w:rsid w:val="003B1D84"/>
    <w:rsid w:val="003B5345"/>
    <w:rsid w:val="003C607D"/>
    <w:rsid w:val="003C6B60"/>
    <w:rsid w:val="003D0C3B"/>
    <w:rsid w:val="003D3FFF"/>
    <w:rsid w:val="003D798A"/>
    <w:rsid w:val="003E2FD2"/>
    <w:rsid w:val="003E355B"/>
    <w:rsid w:val="0041720E"/>
    <w:rsid w:val="0042410C"/>
    <w:rsid w:val="00441A6C"/>
    <w:rsid w:val="00444265"/>
    <w:rsid w:val="004502F4"/>
    <w:rsid w:val="00475AC0"/>
    <w:rsid w:val="00496E8A"/>
    <w:rsid w:val="004A41EF"/>
    <w:rsid w:val="004B70B1"/>
    <w:rsid w:val="004C0C76"/>
    <w:rsid w:val="004C27B9"/>
    <w:rsid w:val="004C3DB4"/>
    <w:rsid w:val="004D2BA0"/>
    <w:rsid w:val="004E363D"/>
    <w:rsid w:val="004F1243"/>
    <w:rsid w:val="004F1ED6"/>
    <w:rsid w:val="004F1F15"/>
    <w:rsid w:val="004F65E5"/>
    <w:rsid w:val="005014D1"/>
    <w:rsid w:val="0052613E"/>
    <w:rsid w:val="0054211F"/>
    <w:rsid w:val="00542DA0"/>
    <w:rsid w:val="0054311D"/>
    <w:rsid w:val="005477DA"/>
    <w:rsid w:val="00555131"/>
    <w:rsid w:val="00557690"/>
    <w:rsid w:val="005712CB"/>
    <w:rsid w:val="005737FA"/>
    <w:rsid w:val="00577CBB"/>
    <w:rsid w:val="00580E39"/>
    <w:rsid w:val="00591636"/>
    <w:rsid w:val="005B4F18"/>
    <w:rsid w:val="005C3668"/>
    <w:rsid w:val="005D417A"/>
    <w:rsid w:val="005D4ACB"/>
    <w:rsid w:val="005D5EDA"/>
    <w:rsid w:val="005E4AFF"/>
    <w:rsid w:val="00606509"/>
    <w:rsid w:val="00615D49"/>
    <w:rsid w:val="006412D7"/>
    <w:rsid w:val="006446F0"/>
    <w:rsid w:val="00645C77"/>
    <w:rsid w:val="00662769"/>
    <w:rsid w:val="00663516"/>
    <w:rsid w:val="0067327D"/>
    <w:rsid w:val="00682D83"/>
    <w:rsid w:val="00683AED"/>
    <w:rsid w:val="0069424B"/>
    <w:rsid w:val="00695D72"/>
    <w:rsid w:val="006A4EA1"/>
    <w:rsid w:val="006B21DA"/>
    <w:rsid w:val="006B29CA"/>
    <w:rsid w:val="006B2B65"/>
    <w:rsid w:val="006B7491"/>
    <w:rsid w:val="006C1D25"/>
    <w:rsid w:val="006E12CC"/>
    <w:rsid w:val="007001F0"/>
    <w:rsid w:val="007014FC"/>
    <w:rsid w:val="0075060C"/>
    <w:rsid w:val="007564B5"/>
    <w:rsid w:val="0076676A"/>
    <w:rsid w:val="00766EEB"/>
    <w:rsid w:val="00772A33"/>
    <w:rsid w:val="0078609E"/>
    <w:rsid w:val="007918EE"/>
    <w:rsid w:val="007A1575"/>
    <w:rsid w:val="007C79A9"/>
    <w:rsid w:val="007C7BAF"/>
    <w:rsid w:val="007D321D"/>
    <w:rsid w:val="007E3476"/>
    <w:rsid w:val="00802A0A"/>
    <w:rsid w:val="00803816"/>
    <w:rsid w:val="00824AB0"/>
    <w:rsid w:val="008378DC"/>
    <w:rsid w:val="008412C9"/>
    <w:rsid w:val="00857BD0"/>
    <w:rsid w:val="00887DA0"/>
    <w:rsid w:val="00893296"/>
    <w:rsid w:val="008935D4"/>
    <w:rsid w:val="008A72B1"/>
    <w:rsid w:val="008B3703"/>
    <w:rsid w:val="008B43ED"/>
    <w:rsid w:val="008B4735"/>
    <w:rsid w:val="008C0E07"/>
    <w:rsid w:val="008E57CC"/>
    <w:rsid w:val="008F5155"/>
    <w:rsid w:val="008F6AB5"/>
    <w:rsid w:val="00933FA5"/>
    <w:rsid w:val="00934104"/>
    <w:rsid w:val="0094672C"/>
    <w:rsid w:val="009549B8"/>
    <w:rsid w:val="00955A3F"/>
    <w:rsid w:val="009572E5"/>
    <w:rsid w:val="00960430"/>
    <w:rsid w:val="00962A3D"/>
    <w:rsid w:val="00967AA4"/>
    <w:rsid w:val="00995DC5"/>
    <w:rsid w:val="009966D3"/>
    <w:rsid w:val="009C0CBE"/>
    <w:rsid w:val="009D7FDE"/>
    <w:rsid w:val="009E1FA0"/>
    <w:rsid w:val="009E3014"/>
    <w:rsid w:val="009F0BB3"/>
    <w:rsid w:val="00A05A16"/>
    <w:rsid w:val="00A1341B"/>
    <w:rsid w:val="00A13AC5"/>
    <w:rsid w:val="00A1423D"/>
    <w:rsid w:val="00A204FB"/>
    <w:rsid w:val="00A206E4"/>
    <w:rsid w:val="00A267F9"/>
    <w:rsid w:val="00A31603"/>
    <w:rsid w:val="00A36051"/>
    <w:rsid w:val="00A37C3C"/>
    <w:rsid w:val="00A42891"/>
    <w:rsid w:val="00A51FF0"/>
    <w:rsid w:val="00A72475"/>
    <w:rsid w:val="00A842DF"/>
    <w:rsid w:val="00A950B9"/>
    <w:rsid w:val="00A973BC"/>
    <w:rsid w:val="00AA10D4"/>
    <w:rsid w:val="00AA706B"/>
    <w:rsid w:val="00AB15F8"/>
    <w:rsid w:val="00AB2664"/>
    <w:rsid w:val="00AB53AC"/>
    <w:rsid w:val="00AB6C97"/>
    <w:rsid w:val="00AC11D0"/>
    <w:rsid w:val="00AC7ABF"/>
    <w:rsid w:val="00AD0003"/>
    <w:rsid w:val="00AF45BF"/>
    <w:rsid w:val="00AF476E"/>
    <w:rsid w:val="00B03668"/>
    <w:rsid w:val="00B07E79"/>
    <w:rsid w:val="00B2286A"/>
    <w:rsid w:val="00B27494"/>
    <w:rsid w:val="00B31A8D"/>
    <w:rsid w:val="00B369BE"/>
    <w:rsid w:val="00B40795"/>
    <w:rsid w:val="00B52013"/>
    <w:rsid w:val="00B57C2F"/>
    <w:rsid w:val="00B83EF8"/>
    <w:rsid w:val="00B87AB6"/>
    <w:rsid w:val="00BA46C7"/>
    <w:rsid w:val="00BB5C59"/>
    <w:rsid w:val="00BB5E17"/>
    <w:rsid w:val="00BB5F62"/>
    <w:rsid w:val="00BC7D27"/>
    <w:rsid w:val="00BD11D0"/>
    <w:rsid w:val="00BE7989"/>
    <w:rsid w:val="00BF5380"/>
    <w:rsid w:val="00BF68F7"/>
    <w:rsid w:val="00C01D90"/>
    <w:rsid w:val="00C1036D"/>
    <w:rsid w:val="00C14435"/>
    <w:rsid w:val="00C442D1"/>
    <w:rsid w:val="00C5715D"/>
    <w:rsid w:val="00C62BAA"/>
    <w:rsid w:val="00C65924"/>
    <w:rsid w:val="00C66833"/>
    <w:rsid w:val="00C6792D"/>
    <w:rsid w:val="00C71DAA"/>
    <w:rsid w:val="00C745A9"/>
    <w:rsid w:val="00C770B6"/>
    <w:rsid w:val="00C77455"/>
    <w:rsid w:val="00C8098E"/>
    <w:rsid w:val="00C8490D"/>
    <w:rsid w:val="00C84E9B"/>
    <w:rsid w:val="00CA1004"/>
    <w:rsid w:val="00CB2DCE"/>
    <w:rsid w:val="00CC65AD"/>
    <w:rsid w:val="00CC7C0B"/>
    <w:rsid w:val="00CD2A4D"/>
    <w:rsid w:val="00CD5891"/>
    <w:rsid w:val="00CD607E"/>
    <w:rsid w:val="00CD6EAB"/>
    <w:rsid w:val="00CE4D8A"/>
    <w:rsid w:val="00CF2676"/>
    <w:rsid w:val="00CF42BE"/>
    <w:rsid w:val="00CF7E7A"/>
    <w:rsid w:val="00D04CBB"/>
    <w:rsid w:val="00D05E2F"/>
    <w:rsid w:val="00D141A5"/>
    <w:rsid w:val="00D21B8D"/>
    <w:rsid w:val="00D26D15"/>
    <w:rsid w:val="00D3212E"/>
    <w:rsid w:val="00D3404D"/>
    <w:rsid w:val="00D45281"/>
    <w:rsid w:val="00D53DC4"/>
    <w:rsid w:val="00D601FE"/>
    <w:rsid w:val="00D6753A"/>
    <w:rsid w:val="00D7040A"/>
    <w:rsid w:val="00D71559"/>
    <w:rsid w:val="00D73864"/>
    <w:rsid w:val="00D77523"/>
    <w:rsid w:val="00D85D7E"/>
    <w:rsid w:val="00D86A2F"/>
    <w:rsid w:val="00D909E7"/>
    <w:rsid w:val="00D90BC6"/>
    <w:rsid w:val="00D92B06"/>
    <w:rsid w:val="00DC0757"/>
    <w:rsid w:val="00DD409A"/>
    <w:rsid w:val="00DE24B3"/>
    <w:rsid w:val="00DE3893"/>
    <w:rsid w:val="00DF08C9"/>
    <w:rsid w:val="00E003D0"/>
    <w:rsid w:val="00E025CD"/>
    <w:rsid w:val="00E05034"/>
    <w:rsid w:val="00E220DE"/>
    <w:rsid w:val="00E22FF1"/>
    <w:rsid w:val="00E24402"/>
    <w:rsid w:val="00E26F68"/>
    <w:rsid w:val="00E31233"/>
    <w:rsid w:val="00E373CB"/>
    <w:rsid w:val="00E74755"/>
    <w:rsid w:val="00E74E4D"/>
    <w:rsid w:val="00E77D37"/>
    <w:rsid w:val="00E90C0B"/>
    <w:rsid w:val="00E9529E"/>
    <w:rsid w:val="00E96761"/>
    <w:rsid w:val="00E97D76"/>
    <w:rsid w:val="00E97E93"/>
    <w:rsid w:val="00EA6444"/>
    <w:rsid w:val="00EB0FB2"/>
    <w:rsid w:val="00EB21BE"/>
    <w:rsid w:val="00EB7FBA"/>
    <w:rsid w:val="00ED4428"/>
    <w:rsid w:val="00EF67AA"/>
    <w:rsid w:val="00F03FA2"/>
    <w:rsid w:val="00F07A0E"/>
    <w:rsid w:val="00F11687"/>
    <w:rsid w:val="00F13C59"/>
    <w:rsid w:val="00F161EE"/>
    <w:rsid w:val="00F168FB"/>
    <w:rsid w:val="00F21312"/>
    <w:rsid w:val="00F23D77"/>
    <w:rsid w:val="00F25681"/>
    <w:rsid w:val="00F41B3B"/>
    <w:rsid w:val="00F43502"/>
    <w:rsid w:val="00F642E6"/>
    <w:rsid w:val="00F75621"/>
    <w:rsid w:val="00F75B8D"/>
    <w:rsid w:val="00F7601B"/>
    <w:rsid w:val="00F80230"/>
    <w:rsid w:val="00F84401"/>
    <w:rsid w:val="00F92A30"/>
    <w:rsid w:val="00FA5496"/>
    <w:rsid w:val="00FB56C5"/>
    <w:rsid w:val="00FB79DD"/>
    <w:rsid w:val="00FD17D4"/>
    <w:rsid w:val="00FD212D"/>
    <w:rsid w:val="00FE4FBE"/>
    <w:rsid w:val="00FE57F0"/>
    <w:rsid w:val="00FE5ACA"/>
    <w:rsid w:val="00FF141D"/>
    <w:rsid w:val="00FF4417"/>
    <w:rsid w:val="04B01274"/>
    <w:rsid w:val="06F3181D"/>
    <w:rsid w:val="09975029"/>
    <w:rsid w:val="12F17558"/>
    <w:rsid w:val="1B4B380B"/>
    <w:rsid w:val="267B7513"/>
    <w:rsid w:val="30EC0D80"/>
    <w:rsid w:val="39E906DA"/>
    <w:rsid w:val="407F6492"/>
    <w:rsid w:val="40CB5639"/>
    <w:rsid w:val="47084F2D"/>
    <w:rsid w:val="49CF4D25"/>
    <w:rsid w:val="4C656B98"/>
    <w:rsid w:val="4E7E3A1F"/>
    <w:rsid w:val="5B266C40"/>
    <w:rsid w:val="5B661732"/>
    <w:rsid w:val="68B64F0A"/>
    <w:rsid w:val="6B563571"/>
    <w:rsid w:val="72BA43E6"/>
    <w:rsid w:val="72EA4FCD"/>
    <w:rsid w:val="757F1030"/>
    <w:rsid w:val="77C25E55"/>
    <w:rsid w:val="78615304"/>
    <w:rsid w:val="7AE567B0"/>
    <w:rsid w:val="7BD36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2697</Words>
  <Characters>2849</Characters>
  <Lines>47</Lines>
  <Paragraphs>13</Paragraphs>
  <TotalTime>2</TotalTime>
  <ScaleCrop>false</ScaleCrop>
  <LinksUpToDate>false</LinksUpToDate>
  <CharactersWithSpaces>2898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2021-01-09T02:55:00Z</dcterms:created>
  <dc:creator>李锐</dc:creator>
  <cp:lastModifiedBy>王雅杰</cp:lastModifiedBy>
  <dcterms:modified xsi:type="dcterms:W3CDTF">2022-10-28T09:38:27Z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4897BEF7E5F6402480785C83B76E6B19</vt:lpwstr>
  </property>
</Properties>
</file>